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0AB94">
      <w:pPr>
        <w:rPr>
          <w:rFonts w:hint="eastAsia" w:ascii="黑体" w:hAnsi="黑体" w:eastAsia="黑体" w:cs="黑体"/>
          <w:color w:val="auto"/>
          <w:spacing w:val="0"/>
          <w:kern w:val="0"/>
          <w:sz w:val="32"/>
          <w:szCs w:val="32"/>
          <w:lang w:val="en-US" w:eastAsia="zh-CN"/>
        </w:rPr>
      </w:pPr>
      <w:r>
        <w:rPr>
          <w:rFonts w:hint="eastAsia" w:ascii="黑体" w:hAnsi="黑体" w:eastAsia="黑体" w:cs="黑体"/>
          <w:color w:val="auto"/>
          <w:spacing w:val="0"/>
          <w:kern w:val="0"/>
          <w:sz w:val="32"/>
          <w:szCs w:val="32"/>
          <w:lang w:val="en-US" w:eastAsia="zh-CN"/>
        </w:rPr>
        <w:t>附件1</w:t>
      </w:r>
    </w:p>
    <w:p w14:paraId="0A8A657F">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0"/>
        <w:jc w:val="both"/>
        <w:textAlignment w:val="auto"/>
        <w:rPr>
          <w:rFonts w:hint="default" w:ascii="Times New Roman" w:hAnsi="Times New Roman" w:eastAsia="方正小标宋简体" w:cs="Times New Roman"/>
          <w:color w:val="auto"/>
          <w:spacing w:val="0"/>
          <w:kern w:val="0"/>
          <w:sz w:val="44"/>
          <w:szCs w:val="44"/>
          <w:lang w:val="en-US" w:eastAsia="zh-CN"/>
        </w:rPr>
      </w:pPr>
    </w:p>
    <w:p w14:paraId="2585D48F">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0"/>
        <w:jc w:val="center"/>
        <w:textAlignment w:val="auto"/>
        <w:rPr>
          <w:rFonts w:hint="default" w:ascii="Times New Roman" w:hAnsi="Times New Roman" w:eastAsia="方正小标宋简体" w:cs="Times New Roman"/>
          <w:color w:val="auto"/>
          <w:spacing w:val="0"/>
          <w:kern w:val="0"/>
          <w:sz w:val="44"/>
          <w:szCs w:val="44"/>
          <w:lang w:val="en-US" w:eastAsia="zh-CN"/>
        </w:rPr>
      </w:pPr>
      <w:r>
        <w:rPr>
          <w:rFonts w:hint="default" w:ascii="Times New Roman" w:hAnsi="Times New Roman" w:eastAsia="方正小标宋简体" w:cs="Times New Roman"/>
          <w:color w:val="auto"/>
          <w:spacing w:val="0"/>
          <w:kern w:val="0"/>
          <w:sz w:val="44"/>
          <w:szCs w:val="44"/>
          <w:lang w:val="en-US" w:eastAsia="zh-CN"/>
        </w:rPr>
        <w:t>人力资源社会保障部</w:t>
      </w:r>
    </w:p>
    <w:p w14:paraId="098306C2">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0"/>
        <w:jc w:val="center"/>
        <w:textAlignment w:val="auto"/>
        <w:rPr>
          <w:rFonts w:hint="default" w:ascii="Times New Roman" w:hAnsi="Times New Roman" w:eastAsia="方正小标宋简体" w:cs="Times New Roman"/>
          <w:color w:val="auto"/>
          <w:spacing w:val="0"/>
          <w:kern w:val="0"/>
          <w:sz w:val="44"/>
          <w:szCs w:val="44"/>
          <w:lang w:val="en-US" w:eastAsia="zh-CN"/>
        </w:rPr>
      </w:pPr>
      <w:r>
        <w:rPr>
          <w:rFonts w:hint="default" w:ascii="Times New Roman" w:hAnsi="Times New Roman" w:eastAsia="方正小标宋简体" w:cs="Times New Roman"/>
          <w:color w:val="auto"/>
          <w:spacing w:val="0"/>
          <w:kern w:val="0"/>
          <w:sz w:val="44"/>
          <w:szCs w:val="44"/>
          <w:lang w:val="en-US" w:eastAsia="zh-CN"/>
        </w:rPr>
        <w:t>2026年重大课题</w:t>
      </w:r>
      <w:r>
        <w:rPr>
          <w:rFonts w:hint="eastAsia" w:ascii="Times New Roman" w:hAnsi="Times New Roman" w:eastAsia="方正小标宋简体" w:cs="Times New Roman"/>
          <w:color w:val="auto"/>
          <w:spacing w:val="0"/>
          <w:kern w:val="0"/>
          <w:sz w:val="44"/>
          <w:szCs w:val="44"/>
          <w:lang w:val="en-US" w:eastAsia="zh-CN"/>
        </w:rPr>
        <w:t>选题</w:t>
      </w:r>
      <w:r>
        <w:rPr>
          <w:rFonts w:hint="default" w:ascii="Times New Roman" w:hAnsi="Times New Roman" w:eastAsia="方正小标宋简体" w:cs="Times New Roman"/>
          <w:color w:val="auto"/>
          <w:spacing w:val="0"/>
          <w:kern w:val="0"/>
          <w:sz w:val="44"/>
          <w:szCs w:val="44"/>
          <w:lang w:val="en-US" w:eastAsia="zh-CN"/>
        </w:rPr>
        <w:t>指南</w:t>
      </w:r>
    </w:p>
    <w:p w14:paraId="006AEFCD">
      <w:pPr>
        <w:pStyle w:val="2"/>
        <w:rPr>
          <w:rFonts w:hint="default"/>
          <w:lang w:val="en-US" w:eastAsia="zh-CN"/>
        </w:rPr>
      </w:pPr>
    </w:p>
    <w:p w14:paraId="6DF937AC">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w:t>
      </w:r>
      <w:r>
        <w:rPr>
          <w:rFonts w:hint="eastAsia" w:ascii="Times New Roman" w:hAnsi="Times New Roman" w:eastAsia="楷体_GB2312" w:cs="Times New Roman"/>
          <w:color w:val="auto"/>
          <w:spacing w:val="0"/>
          <w:kern w:val="0"/>
          <w:sz w:val="32"/>
          <w:szCs w:val="32"/>
          <w:lang w:val="en-US" w:eastAsia="zh-CN"/>
        </w:rPr>
        <w:t>一</w:t>
      </w:r>
      <w:r>
        <w:rPr>
          <w:rFonts w:hint="default" w:ascii="Times New Roman" w:hAnsi="Times New Roman" w:eastAsia="楷体_GB2312" w:cs="Times New Roman"/>
          <w:color w:val="auto"/>
          <w:spacing w:val="0"/>
          <w:kern w:val="0"/>
          <w:sz w:val="32"/>
          <w:szCs w:val="32"/>
          <w:lang w:val="en-US" w:eastAsia="zh-CN"/>
        </w:rPr>
        <w:t>）增强人工智能就业创造正面效应政策研究</w:t>
      </w:r>
    </w:p>
    <w:p w14:paraId="43CB2C25">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b/>
          <w:bCs/>
          <w:color w:val="auto"/>
          <w:spacing w:val="0"/>
          <w:kern w:val="0"/>
          <w:sz w:val="32"/>
          <w:szCs w:val="32"/>
          <w:lang w:val="en-US" w:eastAsia="zh-CN"/>
        </w:rPr>
        <w:t>主要研究内容：</w:t>
      </w:r>
      <w:r>
        <w:rPr>
          <w:rFonts w:hint="default" w:ascii="Times New Roman" w:hAnsi="Times New Roman" w:eastAsia="仿宋_GB2312" w:cs="Times New Roman"/>
          <w:color w:val="auto"/>
          <w:spacing w:val="0"/>
          <w:kern w:val="0"/>
          <w:sz w:val="32"/>
          <w:szCs w:val="32"/>
          <w:lang w:val="en-US" w:eastAsia="zh-CN"/>
        </w:rPr>
        <w:t>研究梳理世界主要国家和国内相关地区释放人工智能就业红利的政策措施，包括但不限于人机协同标准、人工参与率、就业保障基金、岗位替代缓冲期、普遍基本收入、人工智能职业技能培训等，通过政策比较、政策实践以及案例分析等方式，研究提出符合我国实际的政策建议和政策储备，增强人工智能就业创造正面效应，助力构建就业友好型发展方式。</w:t>
      </w:r>
    </w:p>
    <w:p w14:paraId="04232BD5">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w:t>
      </w:r>
      <w:r>
        <w:rPr>
          <w:rFonts w:hint="eastAsia" w:ascii="Times New Roman" w:hAnsi="Times New Roman" w:eastAsia="楷体_GB2312" w:cs="Times New Roman"/>
          <w:color w:val="auto"/>
          <w:spacing w:val="0"/>
          <w:kern w:val="0"/>
          <w:sz w:val="32"/>
          <w:szCs w:val="32"/>
          <w:lang w:val="en-US" w:eastAsia="zh-CN"/>
        </w:rPr>
        <w:t>二</w:t>
      </w:r>
      <w:r>
        <w:rPr>
          <w:rFonts w:hint="default" w:ascii="Times New Roman" w:hAnsi="Times New Roman" w:eastAsia="楷体_GB2312" w:cs="Times New Roman"/>
          <w:color w:val="auto"/>
          <w:spacing w:val="0"/>
          <w:kern w:val="0"/>
          <w:sz w:val="32"/>
          <w:szCs w:val="32"/>
          <w:lang w:val="en-US" w:eastAsia="zh-CN"/>
        </w:rPr>
        <w:t>）未来十年青年就业形势和应对举措研究</w:t>
      </w:r>
    </w:p>
    <w:p w14:paraId="75B67D18">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b/>
          <w:bCs/>
          <w:color w:val="auto"/>
          <w:spacing w:val="0"/>
          <w:kern w:val="0"/>
          <w:sz w:val="32"/>
          <w:szCs w:val="32"/>
          <w:lang w:val="en-US" w:eastAsia="zh-CN"/>
        </w:rPr>
        <w:t>主要研究内容：</w:t>
      </w:r>
      <w:r>
        <w:rPr>
          <w:rFonts w:hint="default" w:ascii="Times New Roman" w:hAnsi="Times New Roman" w:eastAsia="仿宋_GB2312" w:cs="Times New Roman"/>
          <w:color w:val="auto"/>
          <w:spacing w:val="0"/>
          <w:kern w:val="0"/>
          <w:sz w:val="32"/>
          <w:szCs w:val="32"/>
          <w:lang w:val="en-US" w:eastAsia="zh-CN"/>
        </w:rPr>
        <w:t>系统梳理全国青年就业工作现状，从人口结构变化、现代化产业体系建设、以人工智能为代表的技术变革、新型城镇化发展、外部环境变化等方面，研究分析未来十年经济社会发展对青年就业工作的影响。选取美国、欧盟、日本等国家和地区，研究其在促进青年就业方面的实践经验和启示。针对青年就业面临的形势和挑战，研究提出具有前瞻性和可操作性的应对举措。</w:t>
      </w:r>
    </w:p>
    <w:p w14:paraId="57BEDC4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w:t>
      </w:r>
      <w:r>
        <w:rPr>
          <w:rFonts w:hint="eastAsia" w:ascii="Times New Roman" w:hAnsi="Times New Roman" w:eastAsia="楷体_GB2312" w:cs="Times New Roman"/>
          <w:color w:val="auto"/>
          <w:spacing w:val="0"/>
          <w:kern w:val="0"/>
          <w:sz w:val="32"/>
          <w:szCs w:val="32"/>
          <w:lang w:val="en-US" w:eastAsia="zh-CN"/>
        </w:rPr>
        <w:t>三</w:t>
      </w:r>
      <w:r>
        <w:rPr>
          <w:rFonts w:hint="default" w:ascii="Times New Roman" w:hAnsi="Times New Roman" w:eastAsia="楷体_GB2312" w:cs="Times New Roman"/>
          <w:color w:val="auto"/>
          <w:spacing w:val="0"/>
          <w:kern w:val="0"/>
          <w:sz w:val="32"/>
          <w:szCs w:val="32"/>
          <w:lang w:val="en-US" w:eastAsia="zh-CN"/>
        </w:rPr>
        <w:t>）健全人力资源市场法规体系研究</w:t>
      </w:r>
    </w:p>
    <w:p w14:paraId="1E8193AE">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b/>
          <w:bCs/>
          <w:color w:val="auto"/>
          <w:spacing w:val="0"/>
          <w:kern w:val="0"/>
          <w:sz w:val="32"/>
          <w:szCs w:val="32"/>
          <w:lang w:val="en-US" w:eastAsia="zh-CN"/>
        </w:rPr>
        <w:t>主要研究内容：</w:t>
      </w:r>
      <w:r>
        <w:rPr>
          <w:rFonts w:hint="default" w:ascii="Times New Roman" w:hAnsi="Times New Roman" w:eastAsia="仿宋_GB2312" w:cs="Times New Roman"/>
          <w:color w:val="auto"/>
          <w:spacing w:val="0"/>
          <w:kern w:val="0"/>
          <w:sz w:val="32"/>
          <w:szCs w:val="32"/>
          <w:lang w:val="en-US" w:eastAsia="zh-CN"/>
        </w:rPr>
        <w:t>以《人力资源市场暂行条例》为重点，系统梳理我国人力资源市场法规体系演进与现状、实施情况及成效，分析当前人力资源市场法规体系建设面临的新情况和存在的主要问题；对比分析世界主要国家和地区人力资源市场法规体系状况，总结可借鉴的经验；聚焦人力资源市场准入退出机制不够完善、市场活动规范相对滞后、经营主体信用管理措施不明确等主要问题，提出健全人力资源市场法规体系的实施路径与保障措施。</w:t>
      </w:r>
    </w:p>
    <w:p w14:paraId="5553F0EC">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w:t>
      </w:r>
      <w:r>
        <w:rPr>
          <w:rFonts w:hint="eastAsia" w:ascii="Times New Roman" w:hAnsi="Times New Roman" w:eastAsia="楷体_GB2312" w:cs="Times New Roman"/>
          <w:color w:val="auto"/>
          <w:spacing w:val="0"/>
          <w:kern w:val="0"/>
          <w:sz w:val="32"/>
          <w:szCs w:val="32"/>
          <w:lang w:val="en-US" w:eastAsia="zh-CN"/>
        </w:rPr>
        <w:t>四</w:t>
      </w:r>
      <w:r>
        <w:rPr>
          <w:rFonts w:hint="default" w:ascii="Times New Roman" w:hAnsi="Times New Roman" w:eastAsia="楷体_GB2312" w:cs="Times New Roman"/>
          <w:color w:val="auto"/>
          <w:spacing w:val="0"/>
          <w:kern w:val="0"/>
          <w:sz w:val="32"/>
          <w:szCs w:val="32"/>
          <w:lang w:val="en-US" w:eastAsia="zh-CN"/>
        </w:rPr>
        <w:t>）“十五五”及更长时间我国新型城镇化与人口老龄化对养老保险制度发展的影响及对策研究</w:t>
      </w:r>
    </w:p>
    <w:p w14:paraId="59EB0C82">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b/>
          <w:bCs/>
          <w:color w:val="auto"/>
          <w:spacing w:val="0"/>
          <w:kern w:val="0"/>
          <w:sz w:val="32"/>
          <w:szCs w:val="32"/>
          <w:lang w:val="en-US" w:eastAsia="zh-CN"/>
        </w:rPr>
        <w:t>主要研究内容：</w:t>
      </w:r>
      <w:r>
        <w:rPr>
          <w:rFonts w:hint="default" w:ascii="Times New Roman" w:hAnsi="Times New Roman" w:eastAsia="仿宋_GB2312" w:cs="Times New Roman"/>
          <w:color w:val="auto"/>
          <w:spacing w:val="0"/>
          <w:kern w:val="0"/>
          <w:sz w:val="32"/>
          <w:szCs w:val="32"/>
          <w:lang w:val="en-US" w:eastAsia="zh-CN"/>
        </w:rPr>
        <w:t>分析预测当前到2050年我国人口老龄化、新型城镇化发展趋势以及城乡居民基本养老保险参保人员和基金收支情况，评估基金潜在风险和财政资金需求情况，分析研判人口老龄化、新型城镇化达到一定阈值后，城镇企业职工基本养老保险和城乡居民基本养老保险两大制度模式、管理体制和运行机制可能发生的变化，研提政策建议。其中，城镇企业职工基本养老保险应着重分析城镇化进程、人口迁移等方面差异对全国统筹调剂机制的影响；城乡居民基本养老保险应着重分析财政“补入口”和“补出口”资金结构变化情况。</w:t>
      </w:r>
    </w:p>
    <w:p w14:paraId="36B7929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w:t>
      </w:r>
      <w:r>
        <w:rPr>
          <w:rFonts w:hint="eastAsia" w:ascii="Times New Roman" w:hAnsi="Times New Roman" w:eastAsia="楷体_GB2312" w:cs="Times New Roman"/>
          <w:color w:val="auto"/>
          <w:spacing w:val="0"/>
          <w:kern w:val="0"/>
          <w:sz w:val="32"/>
          <w:szCs w:val="32"/>
          <w:lang w:val="en-US" w:eastAsia="zh-CN"/>
        </w:rPr>
        <w:t>五</w:t>
      </w:r>
      <w:r>
        <w:rPr>
          <w:rFonts w:hint="default" w:ascii="Times New Roman" w:hAnsi="Times New Roman" w:eastAsia="楷体_GB2312" w:cs="Times New Roman"/>
          <w:color w:val="auto"/>
          <w:spacing w:val="0"/>
          <w:kern w:val="0"/>
          <w:sz w:val="32"/>
          <w:szCs w:val="32"/>
          <w:lang w:val="en-US" w:eastAsia="zh-CN"/>
        </w:rPr>
        <w:t>）落实投资于人要求，健全终身职业技能培训制度研究</w:t>
      </w:r>
    </w:p>
    <w:p w14:paraId="7BDCFDDC">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b/>
          <w:bCs/>
          <w:color w:val="auto"/>
          <w:spacing w:val="0"/>
          <w:kern w:val="0"/>
          <w:sz w:val="32"/>
          <w:szCs w:val="32"/>
          <w:lang w:val="en-US" w:eastAsia="zh-CN"/>
        </w:rPr>
        <w:t>主要研究内容：</w:t>
      </w:r>
      <w:r>
        <w:rPr>
          <w:rFonts w:hint="default" w:ascii="Times New Roman" w:hAnsi="Times New Roman" w:eastAsia="仿宋_GB2312" w:cs="Times New Roman"/>
          <w:color w:val="auto"/>
          <w:spacing w:val="0"/>
          <w:kern w:val="0"/>
          <w:sz w:val="32"/>
          <w:szCs w:val="32"/>
          <w:lang w:val="en-US" w:eastAsia="zh-CN"/>
        </w:rPr>
        <w:t>总结梳理我国职业技能培训行业整体发展现状、终身职业技能培训工作进展和经验成效，分析存在的问题和困难。重点</w:t>
      </w:r>
      <w:r>
        <w:rPr>
          <w:rFonts w:hint="eastAsia" w:ascii="Times New Roman" w:hAnsi="Times New Roman" w:eastAsia="仿宋_GB2312" w:cs="Times New Roman"/>
          <w:color w:val="auto"/>
          <w:kern w:val="0"/>
          <w:sz w:val="32"/>
          <w:szCs w:val="32"/>
          <w:lang w:eastAsia="zh-CN"/>
        </w:rPr>
        <w:t>是</w:t>
      </w:r>
      <w:r>
        <w:rPr>
          <w:rFonts w:hint="default" w:ascii="Times New Roman" w:hAnsi="Times New Roman" w:eastAsia="仿宋_GB2312" w:cs="Times New Roman"/>
          <w:color w:val="auto"/>
          <w:kern w:val="0"/>
          <w:sz w:val="32"/>
          <w:szCs w:val="32"/>
          <w:lang w:eastAsia="zh-CN"/>
        </w:rPr>
        <w:t>前瞻性</w:t>
      </w:r>
      <w:r>
        <w:rPr>
          <w:rFonts w:hint="default" w:ascii="Times New Roman" w:hAnsi="Times New Roman" w:eastAsia="仿宋_GB2312" w:cs="Times New Roman"/>
          <w:color w:val="auto"/>
          <w:kern w:val="0"/>
          <w:sz w:val="32"/>
          <w:szCs w:val="32"/>
          <w:highlight w:val="none"/>
          <w:lang w:eastAsia="zh-CN"/>
        </w:rPr>
        <w:t>分析未来</w:t>
      </w:r>
      <w:r>
        <w:rPr>
          <w:rFonts w:hint="eastAsia" w:ascii="Times New Roman" w:hAnsi="Times New Roman" w:eastAsia="仿宋_GB2312" w:cs="Times New Roman"/>
          <w:color w:val="auto"/>
          <w:kern w:val="0"/>
          <w:sz w:val="32"/>
          <w:szCs w:val="32"/>
          <w:highlight w:val="none"/>
          <w:lang w:eastAsia="zh-CN"/>
        </w:rPr>
        <w:t>产业、新兴产业</w:t>
      </w:r>
      <w:r>
        <w:rPr>
          <w:rFonts w:hint="default" w:ascii="Times New Roman" w:hAnsi="Times New Roman" w:eastAsia="仿宋_GB2312" w:cs="Times New Roman"/>
          <w:color w:val="auto"/>
          <w:kern w:val="0"/>
          <w:sz w:val="32"/>
          <w:szCs w:val="32"/>
          <w:highlight w:val="none"/>
          <w:lang w:eastAsia="zh-CN"/>
        </w:rPr>
        <w:t>对</w:t>
      </w:r>
      <w:r>
        <w:rPr>
          <w:rFonts w:hint="default" w:ascii="Times New Roman" w:hAnsi="Times New Roman" w:eastAsia="仿宋_GB2312" w:cs="Times New Roman"/>
          <w:color w:val="auto"/>
          <w:kern w:val="0"/>
          <w:sz w:val="32"/>
          <w:szCs w:val="32"/>
          <w:lang w:eastAsia="zh-CN"/>
        </w:rPr>
        <w:t>终身职业技能培训制度的</w:t>
      </w:r>
      <w:r>
        <w:rPr>
          <w:rFonts w:hint="eastAsia" w:ascii="Times New Roman" w:hAnsi="Times New Roman" w:eastAsia="仿宋_GB2312" w:cs="Times New Roman"/>
          <w:color w:val="auto"/>
          <w:kern w:val="0"/>
          <w:sz w:val="32"/>
          <w:szCs w:val="32"/>
          <w:lang w:eastAsia="zh-CN"/>
        </w:rPr>
        <w:t>影响等，</w:t>
      </w:r>
      <w:r>
        <w:rPr>
          <w:rFonts w:hint="default" w:ascii="Times New Roman" w:hAnsi="Times New Roman" w:eastAsia="仿宋_GB2312" w:cs="Times New Roman"/>
          <w:color w:val="auto"/>
          <w:spacing w:val="0"/>
          <w:kern w:val="0"/>
          <w:sz w:val="32"/>
          <w:szCs w:val="32"/>
          <w:lang w:val="en-US" w:eastAsia="zh-CN"/>
        </w:rPr>
        <w:t>研究如何促进职业培训、职业发展、技能增收紧密联动，健全多方参与、多元投入的具体措施，通过政府资金和项目带动企业和社会培训发展的有效路径，职业技能培训监管和评估指标，以及政策制度落地实施、精准找人，打通政策“最后一公里”的推进方式等。</w:t>
      </w:r>
    </w:p>
    <w:p w14:paraId="5DFA2E6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color w:val="auto"/>
          <w:spacing w:val="0"/>
          <w:kern w:val="0"/>
          <w:sz w:val="32"/>
          <w:szCs w:val="32"/>
          <w:highlight w:val="none"/>
          <w:lang w:val="en-US" w:eastAsia="zh-CN"/>
        </w:rPr>
      </w:pPr>
      <w:r>
        <w:rPr>
          <w:rFonts w:hint="default" w:ascii="Times New Roman" w:hAnsi="Times New Roman" w:eastAsia="楷体_GB2312" w:cs="Times New Roman"/>
          <w:color w:val="auto"/>
          <w:spacing w:val="0"/>
          <w:kern w:val="0"/>
          <w:sz w:val="32"/>
          <w:szCs w:val="32"/>
          <w:highlight w:val="none"/>
          <w:lang w:val="en-US" w:eastAsia="zh-CN"/>
        </w:rPr>
        <w:t>（</w:t>
      </w:r>
      <w:r>
        <w:rPr>
          <w:rFonts w:hint="eastAsia" w:ascii="Times New Roman" w:hAnsi="Times New Roman" w:eastAsia="楷体_GB2312" w:cs="Times New Roman"/>
          <w:color w:val="auto"/>
          <w:spacing w:val="0"/>
          <w:kern w:val="0"/>
          <w:sz w:val="32"/>
          <w:szCs w:val="32"/>
          <w:highlight w:val="none"/>
          <w:lang w:val="en-US" w:eastAsia="zh-CN"/>
        </w:rPr>
        <w:t>六</w:t>
      </w:r>
      <w:r>
        <w:rPr>
          <w:rFonts w:hint="default" w:ascii="Times New Roman" w:hAnsi="Times New Roman" w:eastAsia="楷体_GB2312" w:cs="Times New Roman"/>
          <w:color w:val="auto"/>
          <w:spacing w:val="0"/>
          <w:kern w:val="0"/>
          <w:sz w:val="32"/>
          <w:szCs w:val="32"/>
          <w:highlight w:val="none"/>
          <w:lang w:val="en-US" w:eastAsia="zh-CN"/>
        </w:rPr>
        <w:t>）生态文明建设背景下的绿色职业与技能开发研究</w:t>
      </w:r>
    </w:p>
    <w:p w14:paraId="609258A6">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b/>
          <w:bCs/>
          <w:color w:val="auto"/>
          <w:spacing w:val="0"/>
          <w:kern w:val="0"/>
          <w:sz w:val="32"/>
          <w:szCs w:val="32"/>
          <w:highlight w:val="none"/>
          <w:lang w:val="en-US" w:eastAsia="zh-CN"/>
        </w:rPr>
        <w:t>主要研究内容：</w:t>
      </w:r>
      <w:r>
        <w:rPr>
          <w:rFonts w:hint="default" w:ascii="Times New Roman" w:hAnsi="Times New Roman" w:eastAsia="仿宋_GB2312" w:cs="Times New Roman"/>
          <w:color w:val="auto"/>
          <w:spacing w:val="0"/>
          <w:kern w:val="0"/>
          <w:sz w:val="32"/>
          <w:szCs w:val="32"/>
          <w:highlight w:val="none"/>
          <w:lang w:val="en-US" w:eastAsia="zh-CN"/>
        </w:rPr>
        <w:t>研究有关国家和国际组织绿色职业与技能开发经验和成果，梳理绿色技能框架、分类标准与评价机制的核心做法。分析我国绿色职业与技能开发现状，识别存在的问题，阐明面向生态文明建设的我国绿色职业体系和绿色技能开发路径，构建通用绿色技能和专业绿色技能相结</w:t>
      </w:r>
      <w:r>
        <w:rPr>
          <w:rFonts w:hint="default" w:ascii="Times New Roman" w:hAnsi="Times New Roman" w:eastAsia="仿宋_GB2312" w:cs="Times New Roman"/>
          <w:color w:val="auto"/>
          <w:spacing w:val="0"/>
          <w:kern w:val="0"/>
          <w:sz w:val="32"/>
          <w:szCs w:val="32"/>
          <w:lang w:val="en-US" w:eastAsia="zh-CN"/>
        </w:rPr>
        <w:t>合、产教融合的职业（技工）教育体系，形成绿色技能人才培养培训指引和解决方案，制定典型职业、专业的绿色技能包。研提绿色技能人才队伍建设的政策建议，包括但不限于绿色职业认定机制、职业标准绿色化转型、绿色技能评价等。</w:t>
      </w:r>
    </w:p>
    <w:p w14:paraId="5DAB6AA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w:t>
      </w:r>
      <w:r>
        <w:rPr>
          <w:rFonts w:hint="eastAsia" w:ascii="Times New Roman" w:hAnsi="Times New Roman" w:eastAsia="楷体_GB2312" w:cs="Times New Roman"/>
          <w:color w:val="auto"/>
          <w:spacing w:val="0"/>
          <w:kern w:val="0"/>
          <w:sz w:val="32"/>
          <w:szCs w:val="32"/>
          <w:lang w:val="en-US" w:eastAsia="zh-CN"/>
        </w:rPr>
        <w:t>七</w:t>
      </w:r>
      <w:r>
        <w:rPr>
          <w:rFonts w:hint="default" w:ascii="Times New Roman" w:hAnsi="Times New Roman" w:eastAsia="楷体_GB2312" w:cs="Times New Roman"/>
          <w:color w:val="auto"/>
          <w:spacing w:val="0"/>
          <w:kern w:val="0"/>
          <w:sz w:val="32"/>
          <w:szCs w:val="32"/>
          <w:lang w:val="en-US" w:eastAsia="zh-CN"/>
        </w:rPr>
        <w:t>）人工智能赋能人才工作研究</w:t>
      </w:r>
    </w:p>
    <w:p w14:paraId="5F2800EF">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b/>
          <w:bCs/>
          <w:color w:val="auto"/>
          <w:spacing w:val="0"/>
          <w:kern w:val="0"/>
          <w:sz w:val="32"/>
          <w:szCs w:val="32"/>
          <w:lang w:val="en-US" w:eastAsia="zh-CN"/>
        </w:rPr>
        <w:t>主要研究内容：</w:t>
      </w:r>
      <w:r>
        <w:rPr>
          <w:rFonts w:hint="default" w:ascii="Times New Roman" w:hAnsi="Times New Roman" w:eastAsia="仿宋_GB2312" w:cs="Times New Roman"/>
          <w:color w:val="auto"/>
          <w:spacing w:val="0"/>
          <w:kern w:val="0"/>
          <w:sz w:val="32"/>
          <w:szCs w:val="32"/>
          <w:lang w:val="en-US" w:eastAsia="zh-CN"/>
        </w:rPr>
        <w:t>针对人才工作存在信息资源零散、响应需求变化反应慢、工作手段主要依赖人工等落后、粗放、低效问题，以整合利用人才信息资源、提高人才工作效率、推进人才工作逐渐由“人工”向“人工+智工”转变为目标，研究人工智能赋能人才工作的意义、目标、范围、内容、方式、要素保障等，重点研究人工智能应用人才工作场景，比如人才招聘、人才流动、人才学术技术能力评估、职业资格考试管理、继续教育课程更新、知识更新个性方案生成、快速响应产业和基层需求服务、人才信息（档案）管理等等，提出具体工作举措和行动建议，凝练一批典型应用场景和典型案例。</w:t>
      </w:r>
    </w:p>
    <w:p w14:paraId="40B43F6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w:t>
      </w:r>
      <w:r>
        <w:rPr>
          <w:rFonts w:hint="eastAsia" w:ascii="Times New Roman" w:hAnsi="Times New Roman" w:eastAsia="楷体_GB2312" w:cs="Times New Roman"/>
          <w:color w:val="auto"/>
          <w:spacing w:val="0"/>
          <w:kern w:val="0"/>
          <w:sz w:val="32"/>
          <w:szCs w:val="32"/>
          <w:lang w:val="en-US" w:eastAsia="zh-CN"/>
        </w:rPr>
        <w:t>八</w:t>
      </w:r>
      <w:r>
        <w:rPr>
          <w:rFonts w:hint="default" w:ascii="Times New Roman" w:hAnsi="Times New Roman" w:eastAsia="楷体_GB2312" w:cs="Times New Roman"/>
          <w:color w:val="auto"/>
          <w:spacing w:val="0"/>
          <w:kern w:val="0"/>
          <w:sz w:val="32"/>
          <w:szCs w:val="32"/>
          <w:lang w:val="en-US" w:eastAsia="zh-CN"/>
        </w:rPr>
        <w:t>）建立健全事业单位外国人才管理使用制度研究</w:t>
      </w:r>
    </w:p>
    <w:p w14:paraId="4D2D6465">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b/>
          <w:bCs/>
          <w:color w:val="auto"/>
          <w:spacing w:val="0"/>
          <w:kern w:val="0"/>
          <w:sz w:val="32"/>
          <w:szCs w:val="32"/>
          <w:lang w:val="en-US" w:eastAsia="zh-CN"/>
        </w:rPr>
        <w:t>主要研究内容：</w:t>
      </w:r>
      <w:r>
        <w:rPr>
          <w:rFonts w:hint="default" w:ascii="Times New Roman" w:hAnsi="Times New Roman" w:eastAsia="仿宋_GB2312" w:cs="Times New Roman"/>
          <w:color w:val="auto"/>
          <w:spacing w:val="0"/>
          <w:kern w:val="0"/>
          <w:sz w:val="32"/>
          <w:szCs w:val="32"/>
          <w:lang w:val="en-US" w:eastAsia="zh-CN"/>
        </w:rPr>
        <w:t>调研梳理当前不同地区、不同类别（教育、科研、文化、卫生等）事业单位在外国人才管理使用方面的现行做法、典型经验、工作成效和存在的突出问题，研究借鉴发达国家类似公立机构（如公立大学、国立科研机构、公共文化卫生组织等）管理使用外国人才方面的国际经验，在我国现行事业单位人事管理相关制度框架下，研究提出涵盖招聘引进、岗位晋升、考核评价、薪酬激励、离职退休、风险防控等全流程的事业单位外国人才管理使用政策举措和制度设计建议。</w:t>
      </w:r>
    </w:p>
    <w:p w14:paraId="76D9C8D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w:t>
      </w:r>
      <w:r>
        <w:rPr>
          <w:rFonts w:hint="eastAsia" w:ascii="Times New Roman" w:hAnsi="Times New Roman" w:eastAsia="楷体_GB2312" w:cs="Times New Roman"/>
          <w:color w:val="auto"/>
          <w:spacing w:val="0"/>
          <w:kern w:val="0"/>
          <w:sz w:val="32"/>
          <w:szCs w:val="32"/>
          <w:lang w:val="en-US" w:eastAsia="zh-CN"/>
        </w:rPr>
        <w:t>九</w:t>
      </w:r>
      <w:r>
        <w:rPr>
          <w:rFonts w:hint="default" w:ascii="Times New Roman" w:hAnsi="Times New Roman" w:eastAsia="楷体_GB2312" w:cs="Times New Roman"/>
          <w:color w:val="auto"/>
          <w:spacing w:val="0"/>
          <w:kern w:val="0"/>
          <w:sz w:val="32"/>
          <w:szCs w:val="32"/>
          <w:lang w:val="en-US" w:eastAsia="zh-CN"/>
        </w:rPr>
        <w:t>）中国劳动科学自主知识体系基本架构研究</w:t>
      </w:r>
    </w:p>
    <w:p w14:paraId="73CFA211">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b/>
          <w:bCs/>
          <w:color w:val="auto"/>
          <w:spacing w:val="0"/>
          <w:kern w:val="0"/>
          <w:sz w:val="32"/>
          <w:szCs w:val="32"/>
          <w:lang w:val="en-US" w:eastAsia="zh-CN"/>
        </w:rPr>
        <w:t>主要研究内容：</w:t>
      </w:r>
      <w:r>
        <w:rPr>
          <w:rFonts w:hint="default" w:ascii="Times New Roman" w:hAnsi="Times New Roman" w:eastAsia="仿宋_GB2312" w:cs="Times New Roman"/>
          <w:color w:val="auto"/>
          <w:spacing w:val="0"/>
          <w:kern w:val="0"/>
          <w:sz w:val="32"/>
          <w:szCs w:val="32"/>
          <w:lang w:val="en-US" w:eastAsia="zh-CN"/>
        </w:rPr>
        <w:tab/>
      </w:r>
      <w:r>
        <w:rPr>
          <w:rFonts w:hint="default" w:ascii="Times New Roman" w:hAnsi="Times New Roman" w:eastAsia="仿宋_GB2312" w:cs="Times New Roman"/>
          <w:color w:val="auto"/>
          <w:spacing w:val="0"/>
          <w:kern w:val="0"/>
          <w:sz w:val="32"/>
          <w:szCs w:val="32"/>
          <w:lang w:val="en-US" w:eastAsia="zh-CN"/>
        </w:rPr>
        <w:t>深化劳动理论创新，系统梳理习近平总书记关于劳动领域的重要论述并进行深入阐释；研究马克思主义劳动理论的当代价值，探讨共同富裕语境下的劳动理论创新；研究建构中国劳动科学自主知识体系的总体框架、具体内容，并阐明其内在的逻辑关系。</w:t>
      </w:r>
    </w:p>
    <w:p w14:paraId="331CF30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（十）人工智能挑战下的劳动关系问题研究</w:t>
      </w:r>
    </w:p>
    <w:p w14:paraId="5EF3911E">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b/>
          <w:bCs/>
          <w:color w:val="auto"/>
          <w:spacing w:val="0"/>
          <w:kern w:val="0"/>
          <w:sz w:val="32"/>
          <w:szCs w:val="32"/>
          <w:lang w:val="en-US" w:eastAsia="zh-CN"/>
        </w:rPr>
        <w:t>主要研究内容：</w:t>
      </w:r>
      <w:r>
        <w:rPr>
          <w:rFonts w:hint="default" w:ascii="Times New Roman" w:hAnsi="Times New Roman" w:eastAsia="仿宋_GB2312" w:cs="Times New Roman"/>
          <w:color w:val="auto"/>
          <w:spacing w:val="0"/>
          <w:kern w:val="0"/>
          <w:sz w:val="32"/>
          <w:szCs w:val="32"/>
          <w:lang w:val="en-US" w:eastAsia="zh-CN"/>
        </w:rPr>
        <w:t>综合梳理人工智能应用的主要行业和应用场景，研究分析人工智能对企业用工规模、用工形式及管理方式、考核标准带来的影响，对劳动者工作内容、工作方式的影响，以及由此带来的相关主体权利义务关系的变化，分析研判人工智能应用对构建和谐劳动关系带来的现实和潜在挑战，研究探索智能化监测、自动化决策等智能程序参与企业劳动管理的边界，提出加强休息权、隐私权、劳动规则知情权和参与权，以及完善劳动基准的法律政策和政府监管建议。</w:t>
      </w:r>
    </w:p>
    <w:p w14:paraId="732EADD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（十</w:t>
      </w:r>
      <w:r>
        <w:rPr>
          <w:rFonts w:hint="eastAsia" w:ascii="Times New Roman" w:hAnsi="Times New Roman" w:eastAsia="楷体_GB2312" w:cs="Times New Roman"/>
          <w:color w:val="auto"/>
          <w:spacing w:val="0"/>
          <w:kern w:val="0"/>
          <w:sz w:val="32"/>
          <w:szCs w:val="32"/>
          <w:lang w:val="en-US" w:eastAsia="zh-CN"/>
        </w:rPr>
        <w:t>一</w:t>
      </w:r>
      <w:r>
        <w:rPr>
          <w:rFonts w:hint="default" w:ascii="Times New Roman" w:hAnsi="Times New Roman" w:eastAsia="楷体_GB2312" w:cs="Times New Roman"/>
          <w:color w:val="auto"/>
          <w:spacing w:val="0"/>
          <w:kern w:val="0"/>
          <w:sz w:val="32"/>
          <w:szCs w:val="32"/>
          <w:lang w:val="en-US" w:eastAsia="zh-CN"/>
        </w:rPr>
        <w:t>）健全最低工资立法若干重大问题研究</w:t>
      </w:r>
    </w:p>
    <w:p w14:paraId="706A76DB">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b/>
          <w:bCs/>
          <w:color w:val="auto"/>
          <w:spacing w:val="0"/>
          <w:kern w:val="0"/>
          <w:sz w:val="32"/>
          <w:szCs w:val="32"/>
          <w:lang w:val="en-US" w:eastAsia="zh-CN"/>
        </w:rPr>
        <w:t>主要研究内容：</w:t>
      </w:r>
      <w:r>
        <w:rPr>
          <w:rFonts w:hint="default" w:ascii="Times New Roman" w:hAnsi="Times New Roman" w:eastAsia="仿宋_GB2312" w:cs="Times New Roman"/>
          <w:color w:val="auto"/>
          <w:spacing w:val="0"/>
          <w:kern w:val="0"/>
          <w:sz w:val="32"/>
          <w:szCs w:val="32"/>
          <w:lang w:val="en-US" w:eastAsia="zh-CN"/>
        </w:rPr>
        <w:t>梳理总结国外最低工资立法情况（包括有关国家最低工资制度的功能定位、保障范围，最低工资标准的口径、制定和调整程序，最低工资制度落实监督机制、法律责任等），系统分析当前我国最低工资制度存在的主要问题，着眼适应共同富裕发展要求，适应新业态发展和就业形式变化趋势，从完善功能定位、根据就业形式变化拓展最低工资适用范围、完善最低工资标准调整机制、改进最低工资标准测算办法等方面提出建设性意见建议。</w:t>
      </w:r>
    </w:p>
    <w:p w14:paraId="54E4ACD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（十</w:t>
      </w:r>
      <w:r>
        <w:rPr>
          <w:rFonts w:hint="eastAsia" w:ascii="Times New Roman" w:hAnsi="Times New Roman" w:eastAsia="楷体_GB2312" w:cs="Times New Roman"/>
          <w:color w:val="auto"/>
          <w:spacing w:val="0"/>
          <w:kern w:val="0"/>
          <w:sz w:val="32"/>
          <w:szCs w:val="32"/>
          <w:lang w:val="en-US" w:eastAsia="zh-CN"/>
        </w:rPr>
        <w:t>二</w:t>
      </w:r>
      <w:r>
        <w:rPr>
          <w:rFonts w:hint="default" w:ascii="Times New Roman" w:hAnsi="Times New Roman" w:eastAsia="楷体_GB2312" w:cs="Times New Roman"/>
          <w:color w:val="auto"/>
          <w:spacing w:val="0"/>
          <w:kern w:val="0"/>
          <w:sz w:val="32"/>
          <w:szCs w:val="32"/>
          <w:lang w:val="en-US" w:eastAsia="zh-CN"/>
        </w:rPr>
        <w:t>）农村劳动力流动与基层治理问题研究</w:t>
      </w:r>
    </w:p>
    <w:p w14:paraId="32175AB8">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b/>
          <w:bCs/>
          <w:color w:val="auto"/>
          <w:spacing w:val="0"/>
          <w:kern w:val="0"/>
          <w:sz w:val="32"/>
          <w:szCs w:val="32"/>
          <w:lang w:val="en-US" w:eastAsia="zh-CN"/>
        </w:rPr>
        <w:t>主要研究内容：</w:t>
      </w:r>
      <w:r>
        <w:rPr>
          <w:rFonts w:hint="default" w:ascii="Times New Roman" w:hAnsi="Times New Roman" w:eastAsia="仿宋_GB2312" w:cs="Times New Roman"/>
          <w:color w:val="auto"/>
          <w:spacing w:val="0"/>
          <w:kern w:val="0"/>
          <w:sz w:val="32"/>
          <w:szCs w:val="32"/>
          <w:lang w:val="en-US" w:eastAsia="zh-CN"/>
        </w:rPr>
        <w:t>总结分析农村劳动力流动的现状、特点与未来趋势，科学评估当前大规模农村劳动力流动背景下基层治理的现状、问题和短板；围绕基层治理与解决农民工急难愁盼问题，梳理总结国内典型地区有关经验做法，研究提出拓展农民工参与治理的途径和方式，以及适应农村劳动力流动的基层治理现代化的有效路径和政策建议。</w:t>
      </w:r>
    </w:p>
    <w:p w14:paraId="0F491BE5">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（十</w:t>
      </w:r>
      <w:r>
        <w:rPr>
          <w:rFonts w:hint="eastAsia" w:ascii="Times New Roman" w:hAnsi="Times New Roman" w:eastAsia="楷体_GB2312" w:cs="Times New Roman"/>
          <w:color w:val="auto"/>
          <w:spacing w:val="0"/>
          <w:kern w:val="0"/>
          <w:sz w:val="32"/>
          <w:szCs w:val="32"/>
          <w:lang w:val="en-US" w:eastAsia="zh-CN"/>
        </w:rPr>
        <w:t>三</w:t>
      </w:r>
      <w:r>
        <w:rPr>
          <w:rFonts w:hint="default" w:ascii="Times New Roman" w:hAnsi="Times New Roman" w:eastAsia="楷体_GB2312" w:cs="Times New Roman"/>
          <w:color w:val="auto"/>
          <w:spacing w:val="0"/>
          <w:kern w:val="0"/>
          <w:sz w:val="32"/>
          <w:szCs w:val="32"/>
          <w:lang w:val="en-US" w:eastAsia="zh-CN"/>
        </w:rPr>
        <w:t>）中资企业境外用工法律风险防控与我国公民境外劳动权益保障研究</w:t>
      </w:r>
    </w:p>
    <w:p w14:paraId="20975D87">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b/>
          <w:bCs/>
          <w:color w:val="auto"/>
          <w:spacing w:val="0"/>
          <w:kern w:val="0"/>
          <w:sz w:val="32"/>
          <w:szCs w:val="32"/>
          <w:lang w:val="en-US" w:eastAsia="zh-CN"/>
        </w:rPr>
        <w:t>主要研究内容：</w:t>
      </w:r>
      <w:r>
        <w:rPr>
          <w:rFonts w:hint="default" w:ascii="Times New Roman" w:hAnsi="Times New Roman" w:eastAsia="仿宋_GB2312" w:cs="Times New Roman"/>
          <w:color w:val="auto"/>
          <w:spacing w:val="0"/>
          <w:kern w:val="0"/>
          <w:sz w:val="32"/>
          <w:szCs w:val="32"/>
          <w:lang w:val="en-US" w:eastAsia="zh-CN"/>
        </w:rPr>
        <w:t>系统梳理中资企业境外用工法律风险类型与我国公民境外劳动权益保障面临的主要问题和困难，分析境内外劳动法律在劳动标准及争议解决机制方面存在的跨境差异及典型案例，借鉴其他国家经验，研究提出我国在加强中资企业境外用工法律风险防控与我国公民境外劳动权益保障方面的对策建议，探索提出加强涉外法治建设、完善境内外劳动法律政策衔接、我国劳动法律域外适用和跨境劳动争议解决途径的基本思路和有效路径。</w:t>
      </w:r>
    </w:p>
    <w:p w14:paraId="2033989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55A619E-56BB-469D-8908-1EAC9E817829}"/>
  </w:font>
  <w:font w:name="方正小标宋简体">
    <w:panose1 w:val="02000000000000000000"/>
    <w:charset w:val="86"/>
    <w:family w:val="auto"/>
    <w:pitch w:val="default"/>
    <w:sig w:usb0="00000001" w:usb1="08000000" w:usb2="00000000" w:usb3="00000000" w:csb0="00040000" w:csb1="00000000"/>
    <w:embedRegular r:id="rId2" w:fontKey="{1C9A62BC-7C3E-4740-B02F-408ABFC764EE}"/>
  </w:font>
  <w:font w:name="楷体_GB2312">
    <w:altName w:val="楷体"/>
    <w:panose1 w:val="02010609030101010101"/>
    <w:charset w:val="86"/>
    <w:family w:val="decorative"/>
    <w:pitch w:val="default"/>
    <w:sig w:usb0="00000000" w:usb1="00000000" w:usb2="00000000" w:usb3="00000000" w:csb0="00040000" w:csb1="00000000"/>
    <w:embedRegular r:id="rId3" w:fontKey="{AC31C585-BF2A-4200-A3E8-AA83189CAA51}"/>
  </w:font>
  <w:font w:name="仿宋_GB2312">
    <w:altName w:val="仿宋"/>
    <w:panose1 w:val="02010609030101010101"/>
    <w:charset w:val="86"/>
    <w:family w:val="swiss"/>
    <w:pitch w:val="default"/>
    <w:sig w:usb0="00000000" w:usb1="00000000" w:usb2="00000000" w:usb3="00000000" w:csb0="00040000" w:csb1="00000000"/>
    <w:embedRegular r:id="rId4" w:fontKey="{01F2D7F5-0CEE-4FEA-8B7D-838C56213AE6}"/>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923971"/>
    <w:rsid w:val="35923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widowControl w:val="0"/>
      <w:ind w:firstLine="420"/>
    </w:pPr>
    <w:rPr>
      <w:rFonts w:ascii="Calibri" w:hAnsi="Calibri" w:eastAsia="宋体" w:cs="Times New Roman"/>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2026-03-27T00:43:00Z</dcterms:created>
  <dc:creator>gu xiaole</dc:creator>
  <cp:lastModifiedBy>gu xiaole</cp:lastModifiedBy>
  <dcterms:modified xsi:type="dcterms:W3CDTF">2026-03-27T00:44:49Z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A1EE7D55E5644B1DA88259FE781C6979_11</vt:lpwstr>
  </property>
  <property fmtid="{D5CDD505-2E9C-101B-9397-08002B2CF9AE}" pid="4" name="KSOTemplateDocerSaveRecord">
    <vt:lpwstr>eyJoZGlkIjoiYTk5NzFjZWEyZDY0M2I0ZDE1MDViMTkzNmNhNmY3ZGIiLCJ1c2VySWQiOiI0NTI5Nzc5MDMifQ==</vt:lpwstr>
  </property>
</Properties>
</file>