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1" w:lineRule="auto"/>
        <w:rPr>
          <w:rFonts w:ascii="Arial"/>
          <w:sz w:val="21"/>
        </w:rPr>
      </w:pPr>
    </w:p>
    <w:p>
      <w:pPr>
        <w:spacing w:before="140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附件二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121" w:line="219" w:lineRule="auto"/>
        <w:ind w:left="308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1"/>
          <w:sz w:val="37"/>
          <w:szCs w:val="37"/>
        </w:rPr>
        <w:t>最高人民法院</w:t>
      </w:r>
    </w:p>
    <w:p>
      <w:pPr>
        <w:spacing w:before="228" w:line="219" w:lineRule="auto"/>
        <w:ind w:left="64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9"/>
          <w:sz w:val="37"/>
          <w:szCs w:val="37"/>
        </w:rPr>
        <w:t>2022年度司法研究重大课题题目及研究重点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7" w:line="221" w:lineRule="auto"/>
        <w:ind w:left="644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9"/>
          <w:sz w:val="30"/>
          <w:szCs w:val="30"/>
        </w:rPr>
        <w:t>1.司法服务保障促进共同富裕研究</w:t>
      </w:r>
    </w:p>
    <w:p>
      <w:pPr>
        <w:spacing w:before="276" w:line="381" w:lineRule="auto"/>
        <w:ind w:right="347" w:firstLine="64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研究重点：</w:t>
      </w:r>
      <w:r>
        <w:rPr>
          <w:rFonts w:ascii="仿宋" w:hAnsi="仿宋" w:eastAsia="仿宋" w:cs="仿宋"/>
          <w:spacing w:val="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司法服务保障促进共同富裕的总体要求和目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标任务；司法服务保障促进共同富裕的着力点、切入点</w:t>
      </w:r>
      <w:r>
        <w:rPr>
          <w:rFonts w:ascii="仿宋" w:hAnsi="仿宋" w:eastAsia="仿宋" w:cs="仿宋"/>
          <w:spacing w:val="16"/>
          <w:sz w:val="30"/>
          <w:szCs w:val="30"/>
        </w:rPr>
        <w:t>；司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法服务保障促进共同富裕的现状与制约因素；司法服务保障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促进共同富裕的工作思路与具体举措等。</w:t>
      </w:r>
    </w:p>
    <w:p>
      <w:pPr>
        <w:spacing w:before="259" w:line="221" w:lineRule="auto"/>
        <w:ind w:left="644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2.司法服务保障加快建设全国统一大市场研究</w:t>
      </w:r>
    </w:p>
    <w:p>
      <w:pPr>
        <w:spacing w:before="273" w:line="382" w:lineRule="auto"/>
        <w:ind w:right="301" w:firstLine="64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9"/>
          <w:sz w:val="30"/>
          <w:szCs w:val="30"/>
        </w:rPr>
        <w:t>研究重点：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人民法院在加快建设全国统一大市场</w:t>
      </w:r>
      <w:r>
        <w:rPr>
          <w:rFonts w:ascii="仿宋" w:hAnsi="仿宋" w:eastAsia="仿宋" w:cs="仿宋"/>
          <w:spacing w:val="8"/>
          <w:sz w:val="30"/>
          <w:szCs w:val="30"/>
        </w:rPr>
        <w:t>中的职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能作用；司法服务保障加快建设全国统一大市场的着力点</w:t>
      </w:r>
      <w:r>
        <w:rPr>
          <w:rFonts w:ascii="仿宋" w:hAnsi="仿宋" w:eastAsia="仿宋" w:cs="仿宋"/>
          <w:spacing w:val="19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切入点、工作思路和具体举措；新时代公平竞争秩序的司法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保护；防止资本无序扩张司法规则的完善等。</w:t>
      </w:r>
    </w:p>
    <w:p>
      <w:pPr>
        <w:spacing w:before="257" w:line="221" w:lineRule="auto"/>
        <w:ind w:left="644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3.司法服务保障碳达峰碳中和研究</w:t>
      </w:r>
    </w:p>
    <w:p>
      <w:pPr>
        <w:spacing w:before="254" w:line="376" w:lineRule="auto"/>
        <w:ind w:right="382" w:firstLine="64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7"/>
          <w:sz w:val="30"/>
          <w:szCs w:val="30"/>
        </w:rPr>
        <w:t>研究重点：</w:t>
      </w:r>
      <w:r>
        <w:rPr>
          <w:rFonts w:ascii="仿宋" w:hAnsi="仿宋" w:eastAsia="仿宋" w:cs="仿宋"/>
          <w:spacing w:val="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人民法院发挥司法服务与保障职能、助力碳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达峰碳中和目标实现的职能定位；碳达峰碳中和领域</w:t>
      </w:r>
      <w:r>
        <w:rPr>
          <w:rFonts w:ascii="仿宋" w:hAnsi="仿宋" w:eastAsia="仿宋" w:cs="仿宋"/>
          <w:spacing w:val="16"/>
          <w:sz w:val="30"/>
          <w:szCs w:val="30"/>
        </w:rPr>
        <w:t>存在的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法律问题及困难；人民法院发挥司法服务与保障职能</w:t>
      </w:r>
      <w:r>
        <w:rPr>
          <w:rFonts w:ascii="仿宋" w:hAnsi="仿宋" w:eastAsia="仿宋" w:cs="仿宋"/>
          <w:spacing w:val="16"/>
          <w:sz w:val="30"/>
          <w:szCs w:val="30"/>
        </w:rPr>
        <w:t>、助力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碳达峰碳中和目标实现的方法和路径等。</w:t>
      </w:r>
    </w:p>
    <w:p>
      <w:pPr>
        <w:spacing w:before="295" w:line="222" w:lineRule="auto"/>
        <w:ind w:left="644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4.司法大数据服务社会治理应用研究</w:t>
      </w:r>
    </w:p>
    <w:p>
      <w:pPr>
        <w:spacing w:before="261" w:line="222" w:lineRule="auto"/>
        <w:ind w:left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9"/>
          <w:sz w:val="30"/>
          <w:szCs w:val="30"/>
        </w:rPr>
        <w:t>研究重点：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人民法院审判数据映射社会治理问题的</w:t>
      </w:r>
      <w:r>
        <w:rPr>
          <w:rFonts w:ascii="仿宋" w:hAnsi="仿宋" w:eastAsia="仿宋" w:cs="仿宋"/>
          <w:spacing w:val="8"/>
          <w:sz w:val="30"/>
          <w:szCs w:val="30"/>
        </w:rPr>
        <w:t>映射</w:t>
      </w:r>
    </w:p>
    <w:p>
      <w:pPr>
        <w:sectPr>
          <w:footerReference r:id="rId5" w:type="default"/>
          <w:pgSz w:w="11920" w:h="16840"/>
          <w:pgMar w:top="1431" w:right="1788" w:bottom="1431" w:left="1510" w:header="0" w:footer="1302" w:gutter="0"/>
          <w:cols w:space="720" w:num="1"/>
        </w:sectPr>
      </w:pPr>
    </w:p>
    <w:p>
      <w:pPr>
        <w:spacing w:before="302" w:line="389" w:lineRule="auto"/>
        <w:ind w:left="198" w:right="47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关系构建；以辅助社会治理科学决策为目标的司法大数据模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型范式构建；司法大数据专题研究在决策咨询中的</w:t>
      </w:r>
      <w:r>
        <w:rPr>
          <w:rFonts w:ascii="仿宋" w:hAnsi="仿宋" w:eastAsia="仿宋" w:cs="仿宋"/>
          <w:spacing w:val="13"/>
          <w:sz w:val="30"/>
          <w:szCs w:val="30"/>
        </w:rPr>
        <w:t>应用方式</w:t>
      </w:r>
    </w:p>
    <w:p>
      <w:pPr>
        <w:spacing w:line="223" w:lineRule="auto"/>
        <w:ind w:left="1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探索等。</w:t>
      </w:r>
    </w:p>
    <w:p>
      <w:pPr>
        <w:spacing w:before="282" w:line="222" w:lineRule="auto"/>
        <w:ind w:left="813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5.涉外法治重大问题研究</w:t>
      </w:r>
    </w:p>
    <w:p>
      <w:pPr>
        <w:spacing w:before="239" w:line="388" w:lineRule="auto"/>
        <w:ind w:left="198" w:right="440" w:firstLine="61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研究重点：</w:t>
      </w:r>
      <w:r>
        <w:rPr>
          <w:rFonts w:ascii="仿宋" w:hAnsi="仿宋" w:eastAsia="仿宋" w:cs="仿宋"/>
          <w:spacing w:val="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统筹推进国内法治与涉外法治的总体要</w:t>
      </w:r>
      <w:r>
        <w:rPr>
          <w:rFonts w:ascii="仿宋" w:hAnsi="仿宋" w:eastAsia="仿宋" w:cs="仿宋"/>
          <w:spacing w:val="5"/>
          <w:sz w:val="30"/>
          <w:szCs w:val="30"/>
        </w:rPr>
        <w:t>求与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司法应对；我国法域外适用规则的制度设计和具体路径；外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国国家豁免相关司法程序问题；《反外国制裁法》的司法救</w:t>
      </w:r>
      <w:r>
        <w:rPr>
          <w:rFonts w:ascii="仿宋" w:hAnsi="仿宋" w:eastAsia="仿宋" w:cs="仿宋"/>
          <w:spacing w:val="14"/>
          <w:sz w:val="30"/>
          <w:szCs w:val="30"/>
        </w:rPr>
        <w:t>济机制；涉外司法人才的培养路径等。</w:t>
      </w:r>
    </w:p>
    <w:p>
      <w:pPr>
        <w:spacing w:before="265" w:line="220" w:lineRule="auto"/>
        <w:ind w:left="813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9"/>
          <w:sz w:val="30"/>
          <w:szCs w:val="30"/>
        </w:rPr>
        <w:t>6.“</w:t>
      </w:r>
      <w:r>
        <w:rPr>
          <w:rFonts w:ascii="仿宋" w:hAnsi="仿宋" w:eastAsia="仿宋" w:cs="仿宋"/>
          <w:spacing w:val="-105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30"/>
          <w:szCs w:val="30"/>
        </w:rPr>
        <w:t>一带一路”廉洁建设刑事司法保障问题研究</w:t>
      </w:r>
    </w:p>
    <w:p>
      <w:pPr>
        <w:spacing w:before="247" w:line="220" w:lineRule="auto"/>
        <w:ind w:left="8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>研究重点：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“一带一路”重点国家法律及相关国际条约关</w:t>
      </w:r>
    </w:p>
    <w:p>
      <w:pPr>
        <w:spacing w:before="272" w:line="220" w:lineRule="auto"/>
        <w:ind w:left="1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于廉洁建设的规定和刑事司法实践；我国“一带一</w:t>
      </w:r>
      <w:r>
        <w:rPr>
          <w:rFonts w:ascii="仿宋" w:hAnsi="仿宋" w:eastAsia="仿宋" w:cs="仿宋"/>
          <w:spacing w:val="2"/>
          <w:sz w:val="30"/>
          <w:szCs w:val="30"/>
        </w:rPr>
        <w:t>路”建设面</w:t>
      </w:r>
    </w:p>
    <w:p>
      <w:pPr>
        <w:spacing w:before="273" w:line="631" w:lineRule="exact"/>
        <w:ind w:left="1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position w:val="25"/>
          <w:sz w:val="30"/>
          <w:szCs w:val="30"/>
        </w:rPr>
        <w:t>临的廉洁风险和刑事司法适用面临的困难和问题；“一带一路”</w:t>
      </w:r>
    </w:p>
    <w:p>
      <w:pPr>
        <w:spacing w:before="1" w:line="220" w:lineRule="auto"/>
        <w:ind w:left="1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廉洁建设刑事司法保障举措及立法完善建议等。</w:t>
      </w:r>
    </w:p>
    <w:p>
      <w:pPr>
        <w:spacing w:before="238" w:line="222" w:lineRule="auto"/>
        <w:ind w:left="813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9"/>
          <w:sz w:val="30"/>
          <w:szCs w:val="30"/>
        </w:rPr>
        <w:t>7.司法审查视角下的企业合规制度研究</w:t>
      </w:r>
    </w:p>
    <w:p>
      <w:pPr>
        <w:spacing w:before="251" w:line="376" w:lineRule="auto"/>
        <w:ind w:left="198" w:right="422" w:firstLine="61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7"/>
          <w:sz w:val="30"/>
          <w:szCs w:val="30"/>
        </w:rPr>
        <w:t>研究重点：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企业合规基本理论问题；企业合规制度</w:t>
      </w:r>
      <w:r>
        <w:rPr>
          <w:rFonts w:ascii="仿宋" w:hAnsi="仿宋" w:eastAsia="仿宋" w:cs="仿宋"/>
          <w:spacing w:val="6"/>
          <w:sz w:val="30"/>
          <w:szCs w:val="30"/>
        </w:rPr>
        <w:t>比较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研究；企业合规的检察官裁量权模式与法院审查模式比较研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究；企业合规与认罪认罚从宽的制度衔接；企业合规与刑法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制度的完善；企业合规与刑事诉讼程序的完善；企业合规的</w:t>
      </w:r>
    </w:p>
    <w:p>
      <w:pPr>
        <w:spacing w:before="1" w:line="222" w:lineRule="auto"/>
        <w:ind w:left="1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司法审查等。</w:t>
      </w:r>
    </w:p>
    <w:p>
      <w:pPr>
        <w:spacing w:before="295" w:line="222" w:lineRule="auto"/>
        <w:ind w:left="813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8.赌博犯罪法律适用问题研究</w:t>
      </w:r>
    </w:p>
    <w:p>
      <w:pPr>
        <w:spacing w:before="260" w:line="620" w:lineRule="exact"/>
        <w:ind w:left="8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position w:val="24"/>
          <w:sz w:val="30"/>
          <w:szCs w:val="30"/>
        </w:rPr>
        <w:t>研究重点：</w:t>
      </w:r>
      <w:r>
        <w:rPr>
          <w:rFonts w:ascii="仿宋" w:hAnsi="仿宋" w:eastAsia="仿宋" w:cs="仿宋"/>
          <w:spacing w:val="128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position w:val="24"/>
          <w:sz w:val="30"/>
          <w:szCs w:val="30"/>
        </w:rPr>
        <w:t>赌博犯罪的态势与司法适用难点问题分析；</w:t>
      </w:r>
    </w:p>
    <w:p>
      <w:pPr>
        <w:spacing w:before="2" w:line="220" w:lineRule="auto"/>
        <w:ind w:left="1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赌博罪、开设</w:t>
      </w:r>
      <w:bookmarkStart w:id="0" w:name="_GoBack"/>
      <w:bookmarkEnd w:id="0"/>
      <w:r>
        <w:rPr>
          <w:rFonts w:ascii="仿宋" w:hAnsi="仿宋" w:eastAsia="仿宋" w:cs="仿宋"/>
          <w:spacing w:val="3"/>
          <w:sz w:val="30"/>
          <w:szCs w:val="30"/>
        </w:rPr>
        <w:t>赌场罪现行定罪量刑标准的调整；《刑法修正</w:t>
      </w:r>
    </w:p>
    <w:p>
      <w:pPr>
        <w:sectPr>
          <w:footerReference r:id="rId6" w:type="default"/>
          <w:pgSz w:w="12140" w:h="16990"/>
          <w:pgMar w:top="1444" w:right="1476" w:bottom="1391" w:left="1821" w:header="0" w:footer="1233" w:gutter="0"/>
          <w:cols w:space="720" w:num="1"/>
        </w:sectPr>
      </w:pPr>
    </w:p>
    <w:p>
      <w:pPr>
        <w:spacing w:before="148" w:line="363" w:lineRule="auto"/>
        <w:ind w:right="27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1"/>
          <w:sz w:val="32"/>
          <w:szCs w:val="32"/>
        </w:rPr>
        <w:t>案(十一)》增设的组织参与国(境)外赌博罪的定罪量刑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标准设置；赌博罪、开设赌场罪、组织参与国(境)外赌</w:t>
      </w:r>
      <w:r>
        <w:rPr>
          <w:rFonts w:ascii="仿宋" w:hAnsi="仿宋" w:eastAsia="仿宋" w:cs="仿宋"/>
          <w:spacing w:val="9"/>
          <w:sz w:val="32"/>
          <w:szCs w:val="32"/>
        </w:rPr>
        <w:t>博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罪的界限划分；赌博犯罪的其他司法适用难题研究等。</w:t>
      </w:r>
    </w:p>
    <w:p>
      <w:pPr>
        <w:spacing w:before="249" w:line="221" w:lineRule="auto"/>
        <w:ind w:left="62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8"/>
          <w:sz w:val="32"/>
          <w:szCs w:val="32"/>
        </w:rPr>
        <w:t>9.刑事案件涉案财物处置问题研究</w:t>
      </w:r>
    </w:p>
    <w:p>
      <w:pPr>
        <w:spacing w:before="240" w:line="358" w:lineRule="auto"/>
        <w:ind w:right="174" w:firstLine="62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8"/>
          <w:sz w:val="32"/>
          <w:szCs w:val="32"/>
        </w:rPr>
        <w:t>研究重点：</w:t>
      </w:r>
      <w:r>
        <w:rPr>
          <w:rFonts w:ascii="仿宋" w:hAnsi="仿宋" w:eastAsia="仿宋" w:cs="仿宋"/>
          <w:spacing w:val="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刑事案件涉案财物处置实践与存在的问题；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涉案财物处置手段及程序；涉案财物权属判断与分配顺序；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涉案财物处置中案外人权益保障问题；涉案财物处置与民事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执行的衔接、结案标准等。</w:t>
      </w:r>
    </w:p>
    <w:p>
      <w:pPr>
        <w:spacing w:before="245" w:line="222" w:lineRule="auto"/>
        <w:ind w:left="6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10.犯罪附随后果研究</w:t>
      </w:r>
    </w:p>
    <w:p>
      <w:pPr>
        <w:spacing w:before="225" w:line="358" w:lineRule="auto"/>
        <w:ind w:right="224" w:firstLine="6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研究重点：</w:t>
      </w:r>
      <w:r>
        <w:rPr>
          <w:rFonts w:ascii="仿宋" w:hAnsi="仿宋" w:eastAsia="仿宋" w:cs="仿宋"/>
          <w:spacing w:val="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犯罪附随后果的源流演变；犯罪记录对犯罪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人回归社会的影响，对犯罪人家庭成员入学、就业的影响；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犯罪附随后果比较研究；我国犯罪附随后果的利弊分析；我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国当前犯罪结构变化背景下犯罪附随后果调整的必要</w:t>
      </w:r>
      <w:r>
        <w:rPr>
          <w:rFonts w:ascii="仿宋" w:hAnsi="仿宋" w:eastAsia="仿宋" w:cs="仿宋"/>
          <w:spacing w:val="8"/>
          <w:sz w:val="32"/>
          <w:szCs w:val="32"/>
        </w:rPr>
        <w:t>性及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具体路径；前科消灭制度的构建、罪责自负原则的贯彻、从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业禁止制度的完善等。</w:t>
      </w:r>
    </w:p>
    <w:p>
      <w:pPr>
        <w:spacing w:before="271" w:line="222" w:lineRule="auto"/>
        <w:ind w:left="62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9"/>
          <w:sz w:val="32"/>
          <w:szCs w:val="32"/>
        </w:rPr>
        <w:t>11.算法技术的法律规制研究</w:t>
      </w:r>
    </w:p>
    <w:p>
      <w:pPr>
        <w:spacing w:before="223" w:line="352" w:lineRule="auto"/>
        <w:ind w:right="195" w:firstLine="62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研究重点：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算法技术的应用领域及法律风险；算法推荐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服务的司法规制；算法用户权益的司法保障机制，未</w:t>
      </w:r>
      <w:r>
        <w:rPr>
          <w:rFonts w:ascii="仿宋" w:hAnsi="仿宋" w:eastAsia="仿宋" w:cs="仿宋"/>
          <w:spacing w:val="-12"/>
          <w:sz w:val="32"/>
          <w:szCs w:val="32"/>
        </w:rPr>
        <w:t>成年人、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消费者等特定群体的针对性保护机制；算法设计者的合规责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任、算法使用者的用人单位责任、平台对算法合理</w:t>
      </w:r>
      <w:r>
        <w:rPr>
          <w:rFonts w:ascii="仿宋" w:hAnsi="仿宋" w:eastAsia="仿宋" w:cs="仿宋"/>
          <w:spacing w:val="-3"/>
          <w:sz w:val="32"/>
          <w:szCs w:val="32"/>
        </w:rPr>
        <w:t>性的证明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责任等。</w:t>
      </w:r>
    </w:p>
    <w:p>
      <w:pPr>
        <w:spacing w:before="254" w:line="221" w:lineRule="auto"/>
        <w:ind w:left="62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12.个人信息保护司法路径研究</w:t>
      </w:r>
    </w:p>
    <w:p>
      <w:pPr>
        <w:sectPr>
          <w:footerReference r:id="rId7" w:type="default"/>
          <w:pgSz w:w="12100" w:h="16970"/>
          <w:pgMar w:top="1442" w:right="1815" w:bottom="1518" w:left="1750" w:header="0" w:footer="1379" w:gutter="0"/>
          <w:cols w:space="720" w:num="1"/>
        </w:sectPr>
      </w:pPr>
    </w:p>
    <w:p>
      <w:pPr>
        <w:spacing w:before="178" w:line="376" w:lineRule="auto"/>
        <w:ind w:left="88" w:firstLine="6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6"/>
          <w:sz w:val="31"/>
          <w:szCs w:val="31"/>
        </w:rPr>
        <w:t>研究重点：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重点领域个人信息保护现状及潜在风险分析；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域外个人信息保护规则、最新成果及司法实践比较研</w:t>
      </w:r>
      <w:r>
        <w:rPr>
          <w:rFonts w:ascii="仿宋" w:hAnsi="仿宋" w:eastAsia="仿宋" w:cs="仿宋"/>
          <w:spacing w:val="4"/>
          <w:sz w:val="31"/>
          <w:szCs w:val="31"/>
        </w:rPr>
        <w:t>究；我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国个人信息保护规则运行情况实证分析；不同应用场景下个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人信息保护规则的细化研究；个人信息保护公</w:t>
      </w:r>
      <w:r>
        <w:rPr>
          <w:rFonts w:ascii="仿宋" w:hAnsi="仿宋" w:eastAsia="仿宋" w:cs="仿宋"/>
          <w:spacing w:val="4"/>
          <w:sz w:val="31"/>
          <w:szCs w:val="31"/>
        </w:rPr>
        <w:t>益诉讼的实践路径；个人信息保护相关司法解释制定实证研究等。</w:t>
      </w:r>
    </w:p>
    <w:p>
      <w:pPr>
        <w:spacing w:before="267" w:line="222" w:lineRule="auto"/>
        <w:ind w:left="70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13.民法典合同编司法解释实证研究</w:t>
      </w:r>
    </w:p>
    <w:p>
      <w:pPr>
        <w:spacing w:before="230" w:line="375" w:lineRule="auto"/>
        <w:ind w:left="88" w:right="204" w:firstLine="6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研究重点：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合同纠纷审判实践总体情况和主要问</w:t>
      </w:r>
      <w:r>
        <w:rPr>
          <w:rFonts w:ascii="仿宋" w:hAnsi="仿宋" w:eastAsia="仿宋" w:cs="仿宋"/>
          <w:spacing w:val="-4"/>
          <w:sz w:val="31"/>
          <w:szCs w:val="31"/>
        </w:rPr>
        <w:t>题；法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典化背景下合同纠纷法律适用的重点难点问题；域外合同法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规则的最新发展、司法实践的比较研究；合同</w:t>
      </w:r>
      <w:r>
        <w:rPr>
          <w:rFonts w:ascii="仿宋" w:hAnsi="仿宋" w:eastAsia="仿宋" w:cs="仿宋"/>
          <w:spacing w:val="5"/>
          <w:sz w:val="31"/>
          <w:szCs w:val="31"/>
        </w:rPr>
        <w:t>编司法解释的</w:t>
      </w:r>
    </w:p>
    <w:p>
      <w:pPr>
        <w:spacing w:before="1" w:line="221" w:lineRule="auto"/>
        <w:ind w:left="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指导思想、目标定位、总体结构和主要规则设计等。</w:t>
      </w:r>
    </w:p>
    <w:p>
      <w:pPr>
        <w:spacing w:before="241" w:line="220" w:lineRule="auto"/>
        <w:ind w:left="70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14.部分连带责任研究</w:t>
      </w:r>
    </w:p>
    <w:p>
      <w:pPr>
        <w:spacing w:before="246" w:line="369" w:lineRule="auto"/>
        <w:ind w:left="88" w:right="209" w:firstLine="6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研究重点：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部分连带责任的对内关系和对外关系；不真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正连带责任与部分连带责任的区别；部分责任人承担责任限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额的确定标准；证券虚假陈述、网络侵权、环境侵权、知识</w:t>
      </w:r>
    </w:p>
    <w:p>
      <w:pPr>
        <w:spacing w:line="220" w:lineRule="auto"/>
        <w:ind w:left="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产权侵权、刑民交叉等案件中部分连带责任的</w:t>
      </w:r>
      <w:r>
        <w:rPr>
          <w:rFonts w:ascii="仿宋" w:hAnsi="仿宋" w:eastAsia="仿宋" w:cs="仿宋"/>
          <w:spacing w:val="9"/>
          <w:sz w:val="31"/>
          <w:szCs w:val="31"/>
        </w:rPr>
        <w:t>司法适用等。</w:t>
      </w:r>
    </w:p>
    <w:p>
      <w:pPr>
        <w:spacing w:before="250" w:line="222" w:lineRule="auto"/>
        <w:ind w:left="70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15.标准必要专利许可条件法律问题研究</w:t>
      </w:r>
    </w:p>
    <w:p>
      <w:pPr>
        <w:spacing w:before="262" w:line="369" w:lineRule="auto"/>
        <w:ind w:left="88" w:right="207" w:firstLine="6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研究重点：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标准必要专利许可条件涉及的法律问题、基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本特点和形成原因；标准必要专利许可条件的定价原则、裁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量方法、逻辑框架和影响因素；涉标准必要专利许可条件纠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纷的国际平行诉讼管辖、禁令救济、滥用市场支配地位等法</w:t>
      </w:r>
    </w:p>
    <w:p>
      <w:pPr>
        <w:spacing w:before="1" w:line="221" w:lineRule="auto"/>
        <w:ind w:left="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律问题研究；我国相关法律制度与裁判规则的完</w:t>
      </w:r>
      <w:r>
        <w:rPr>
          <w:rFonts w:ascii="仿宋" w:hAnsi="仿宋" w:eastAsia="仿宋" w:cs="仿宋"/>
          <w:spacing w:val="9"/>
          <w:sz w:val="31"/>
          <w:szCs w:val="31"/>
        </w:rPr>
        <w:t>善建议等。</w:t>
      </w:r>
    </w:p>
    <w:p>
      <w:pPr>
        <w:spacing w:before="242" w:line="222" w:lineRule="auto"/>
        <w:ind w:left="70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16.“一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国两制”下区际民商事法律冲突解决路径研究</w:t>
      </w:r>
    </w:p>
    <w:p>
      <w:pPr>
        <w:sectPr>
          <w:footerReference r:id="rId8" w:type="default"/>
          <w:pgSz w:w="12140" w:h="16990"/>
          <w:pgMar w:top="1444" w:right="1815" w:bottom="1497" w:left="1821" w:header="0" w:footer="1359" w:gutter="0"/>
          <w:cols w:space="720" w:num="1"/>
        </w:sectPr>
      </w:pPr>
    </w:p>
    <w:p>
      <w:pPr>
        <w:spacing w:before="216" w:line="375" w:lineRule="auto"/>
        <w:ind w:left="6" w:right="161" w:firstLine="62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研究重点：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粤港澳大湾区民商事法律冲突的内涵、特点、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性质、类型以及具体表现、解决原则、解决路径；现有区际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司法协助模式在解决民商事法律冲突方面的成效、问题和完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善路径；制定区际司法协助法、统一冲突法规范以及大湾区</w:t>
      </w:r>
    </w:p>
    <w:p>
      <w:pPr>
        <w:spacing w:line="220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统一示范法等的必要性、可行性和具体制度设计等。</w:t>
      </w:r>
    </w:p>
    <w:p>
      <w:pPr>
        <w:spacing w:before="266" w:line="221" w:lineRule="auto"/>
        <w:ind w:left="63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17.行政诉讼判决方式适用与完善研究</w:t>
      </w:r>
    </w:p>
    <w:p>
      <w:pPr>
        <w:spacing w:before="224" w:line="369" w:lineRule="auto"/>
        <w:ind w:left="6" w:right="246" w:firstLine="62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研究重点：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行政诉讼判决方式的立法沿革；行政诉讼判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决方式比较研究；正确选择行政诉讼判决方式对实质化解行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政争议、助推法治政府建设的重要意义；不同种类行政诉</w:t>
      </w:r>
      <w:r>
        <w:rPr>
          <w:rFonts w:ascii="仿宋" w:hAnsi="仿宋" w:eastAsia="仿宋" w:cs="仿宋"/>
          <w:spacing w:val="4"/>
          <w:sz w:val="31"/>
          <w:szCs w:val="31"/>
        </w:rPr>
        <w:t>讼</w:t>
      </w:r>
    </w:p>
    <w:p>
      <w:pPr>
        <w:spacing w:before="1" w:line="220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判决方式的适用条件；行政诉讼判决方式的发展与完善等。</w:t>
      </w:r>
    </w:p>
    <w:p>
      <w:pPr>
        <w:spacing w:before="264" w:line="221" w:lineRule="auto"/>
        <w:ind w:left="63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18.执行参与分配制度现代化研究</w:t>
      </w:r>
    </w:p>
    <w:p>
      <w:pPr>
        <w:spacing w:before="253" w:line="364" w:lineRule="auto"/>
        <w:ind w:left="6" w:right="191" w:firstLine="62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研究重点：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参与分配制度的适用范围和条件；参与分配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主体资格认定；现行参与分配制度的运行情况及问</w:t>
      </w:r>
      <w:r>
        <w:rPr>
          <w:rFonts w:ascii="仿宋" w:hAnsi="仿宋" w:eastAsia="仿宋" w:cs="仿宋"/>
          <w:spacing w:val="7"/>
          <w:sz w:val="31"/>
          <w:szCs w:val="31"/>
        </w:rPr>
        <w:t>题梳理；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参与分配与执行转破产的关系及程序衔接问题；参与分配制</w:t>
      </w:r>
      <w:r>
        <w:rPr>
          <w:rFonts w:ascii="仿宋" w:hAnsi="仿宋" w:eastAsia="仿宋" w:cs="仿宋"/>
          <w:spacing w:val="1"/>
          <w:sz w:val="31"/>
          <w:szCs w:val="31"/>
        </w:rPr>
        <w:t>度的完善路径等。</w:t>
      </w:r>
    </w:p>
    <w:p>
      <w:pPr>
        <w:spacing w:before="290" w:line="221" w:lineRule="auto"/>
        <w:ind w:left="63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19.少年法庭单独绩效考核问题研究</w:t>
      </w:r>
    </w:p>
    <w:p>
      <w:pPr>
        <w:spacing w:before="226" w:line="369" w:lineRule="auto"/>
        <w:ind w:left="6" w:right="1" w:firstLine="62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研究重点：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少年法庭审判人员专门绩效考核的具体内容、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考核标准，以及如何处理与其他审判人员考核的关系；社</w:t>
      </w:r>
      <w:r>
        <w:rPr>
          <w:rFonts w:ascii="仿宋" w:hAnsi="仿宋" w:eastAsia="仿宋" w:cs="仿宋"/>
          <w:spacing w:val="4"/>
          <w:sz w:val="31"/>
          <w:szCs w:val="31"/>
        </w:rPr>
        <w:t>会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调查、心理疏导、延伸帮教、判后回访等少年审判特色工作</w:t>
      </w:r>
      <w:r>
        <w:rPr>
          <w:rFonts w:ascii="仿宋" w:hAnsi="仿宋" w:eastAsia="仿宋" w:cs="仿宋"/>
          <w:spacing w:val="1"/>
          <w:sz w:val="31"/>
          <w:szCs w:val="31"/>
        </w:rPr>
        <w:t>如何纳入考核；少年法庭绩效考核的制度体系和考核办法等。</w:t>
      </w:r>
    </w:p>
    <w:p>
      <w:pPr>
        <w:spacing w:before="263" w:line="222" w:lineRule="auto"/>
        <w:ind w:left="63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20.案例指导制度实证研究</w:t>
      </w:r>
    </w:p>
    <w:p>
      <w:pPr>
        <w:spacing w:before="249" w:line="219" w:lineRule="auto"/>
        <w:ind w:left="630"/>
        <w:sectPr>
          <w:footerReference r:id="rId9" w:type="default"/>
          <w:pgSz w:w="12090" w:h="16960"/>
          <w:pgMar w:top="1441" w:right="1813" w:bottom="1455" w:left="1813" w:header="0" w:footer="1306" w:gutter="0"/>
          <w:cols w:space="720" w:num="1"/>
        </w:sect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研究重点：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指导性案例在统一法律适用机制中的地位和</w:t>
      </w:r>
    </w:p>
    <w:p>
      <w:pPr>
        <w:spacing w:before="142" w:line="377" w:lineRule="auto"/>
        <w:ind w:right="2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作用；指导性案例参照适用的现状；指导性案例在统一法律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适用方面存在的问题及完善路径；指导性案例与司法解释在</w:t>
      </w:r>
      <w:r>
        <w:rPr>
          <w:rFonts w:ascii="仿宋" w:hAnsi="仿宋" w:eastAsia="仿宋" w:cs="仿宋"/>
          <w:spacing w:val="2"/>
          <w:sz w:val="31"/>
          <w:szCs w:val="31"/>
        </w:rPr>
        <w:t>统一法律适用方面的关系及协调问题等。</w:t>
      </w:r>
    </w:p>
    <w:p>
      <w:pPr>
        <w:spacing w:before="270" w:line="222" w:lineRule="auto"/>
        <w:ind w:left="64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21.深化司法制约监督体系改革研究</w:t>
      </w:r>
    </w:p>
    <w:p>
      <w:pPr>
        <w:spacing w:before="249" w:line="370" w:lineRule="auto"/>
        <w:ind w:right="259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6"/>
          <w:sz w:val="31"/>
          <w:szCs w:val="31"/>
        </w:rPr>
        <w:t>研究重点：</w:t>
      </w:r>
      <w:r>
        <w:rPr>
          <w:rFonts w:ascii="仿宋" w:hAnsi="仿宋" w:eastAsia="仿宋" w:cs="仿宋"/>
          <w:spacing w:val="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司法制约监督体系改革的进展与成效；深化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司法制约监督体系改革的重点难点问题；进一步深化司法制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约监督体系改革，加快构建系统完备、规范高效的司法制约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监督体系的意见建议等。</w:t>
      </w:r>
    </w:p>
    <w:p>
      <w:pPr>
        <w:spacing w:before="250" w:line="221" w:lineRule="auto"/>
        <w:ind w:left="64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22.高级人民法院再审程序运行机制和资源配置问题研</w:t>
      </w:r>
    </w:p>
    <w:p>
      <w:pPr>
        <w:spacing w:before="242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究</w:t>
      </w:r>
    </w:p>
    <w:p>
      <w:pPr>
        <w:spacing w:before="255" w:line="369" w:lineRule="auto"/>
        <w:ind w:right="236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研究重点：</w:t>
      </w:r>
      <w:r>
        <w:rPr>
          <w:rFonts w:ascii="仿宋" w:hAnsi="仿宋" w:eastAsia="仿宋" w:cs="仿宋"/>
          <w:spacing w:val="1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四级法院职能定位改革背景下高级人民法院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再审程序运行各个节点的适用规则与制度设计；与</w:t>
      </w:r>
      <w:r>
        <w:rPr>
          <w:rFonts w:ascii="仿宋" w:hAnsi="仿宋" w:eastAsia="仿宋" w:cs="仿宋"/>
          <w:spacing w:val="3"/>
          <w:sz w:val="31"/>
          <w:szCs w:val="31"/>
        </w:rPr>
        <w:t>再审程序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相适应的法院机构设置、职责划分等配套保障；</w:t>
      </w:r>
      <w:r>
        <w:rPr>
          <w:rFonts w:ascii="仿宋" w:hAnsi="仿宋" w:eastAsia="仿宋" w:cs="仿宋"/>
          <w:spacing w:val="4"/>
          <w:sz w:val="31"/>
          <w:szCs w:val="31"/>
        </w:rPr>
        <w:t>探索完善高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级人民法院再审案件的繁简分流程序机制；高级人民法院报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请最高人民法院再审提审案件的判断标准、识别甄选、程序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衔接等机制研究；再审程序中的审判监督管理问题等。</w:t>
      </w:r>
    </w:p>
    <w:p>
      <w:pPr>
        <w:spacing w:before="255" w:line="222" w:lineRule="auto"/>
        <w:ind w:left="64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23.服务司法高质量发展的法院绩效管理体系研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究</w:t>
      </w:r>
    </w:p>
    <w:p>
      <w:pPr>
        <w:spacing w:before="245" w:line="370" w:lineRule="auto"/>
        <w:ind w:right="127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研究重点：</w:t>
      </w:r>
      <w:r>
        <w:rPr>
          <w:rFonts w:ascii="仿宋" w:hAnsi="仿宋" w:eastAsia="仿宋" w:cs="仿宋"/>
          <w:spacing w:val="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当前法院绩效管理工作基本情况与面临的问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题；繁简分流、员额制改革等对绩效管理提出的新任务新挑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战及应对思路；服务司法高质量发展的绩效管</w:t>
      </w:r>
      <w:r>
        <w:rPr>
          <w:rFonts w:ascii="仿宋" w:hAnsi="仿宋" w:eastAsia="仿宋" w:cs="仿宋"/>
          <w:spacing w:val="9"/>
          <w:sz w:val="31"/>
          <w:szCs w:val="31"/>
        </w:rPr>
        <w:t>理改革路径、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绩效管理理论和指标体系构建；法院、法官、各审判业务部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门等主体的绩效考核具体改革方案等。</w:t>
      </w:r>
    </w:p>
    <w:p>
      <w:pPr>
        <w:sectPr>
          <w:footerReference r:id="rId10" w:type="default"/>
          <w:pgSz w:w="11920" w:h="16840"/>
          <w:pgMar w:top="1431" w:right="1788" w:bottom="1378" w:left="1690" w:header="0" w:footer="1239" w:gutter="0"/>
          <w:cols w:space="720" w:num="1"/>
        </w:sectPr>
      </w:pPr>
    </w:p>
    <w:p>
      <w:pPr>
        <w:spacing w:before="184" w:line="222" w:lineRule="auto"/>
        <w:ind w:left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24.新时代法院文化建设研究</w:t>
      </w:r>
    </w:p>
    <w:p>
      <w:pPr>
        <w:spacing w:before="248" w:line="369" w:lineRule="auto"/>
        <w:ind w:left="146" w:right="106" w:firstLine="6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研究重点：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新时代法院文化的内涵与价值定位；法院文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化在助推法院工作高质量发展、推进全面依法</w:t>
      </w:r>
      <w:r>
        <w:rPr>
          <w:rFonts w:ascii="仿宋" w:hAnsi="仿宋" w:eastAsia="仿宋" w:cs="仿宋"/>
          <w:spacing w:val="5"/>
          <w:sz w:val="31"/>
          <w:szCs w:val="31"/>
        </w:rPr>
        <w:t>治国进程中的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重要作用；法院文化与法院意识形态工作的关系；新时代法</w:t>
      </w:r>
    </w:p>
    <w:p>
      <w:pPr>
        <w:spacing w:line="220" w:lineRule="auto"/>
        <w:ind w:left="1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院文化建设的重点工作与推进路径等。</w:t>
      </w:r>
    </w:p>
    <w:p>
      <w:pPr>
        <w:spacing w:before="280" w:line="222" w:lineRule="auto"/>
        <w:ind w:left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25.人民法院加快构建现代化司法政务体系研究</w:t>
      </w:r>
    </w:p>
    <w:p>
      <w:pPr>
        <w:spacing w:before="226" w:line="364" w:lineRule="auto"/>
        <w:ind w:left="146" w:right="86" w:firstLine="6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研究重点：</w:t>
      </w:r>
      <w:r>
        <w:rPr>
          <w:rFonts w:ascii="仿宋" w:hAnsi="仿宋" w:eastAsia="仿宋" w:cs="仿宋"/>
          <w:spacing w:val="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现代化司法政务体系基础理论问题；人民法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院办公室工作和队伍建设的现状、问题实证研究；建设强而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有力、严谨规范、真抓实干、勇于创新、科技</w:t>
      </w:r>
      <w:r>
        <w:rPr>
          <w:rFonts w:ascii="仿宋" w:hAnsi="仿宋" w:eastAsia="仿宋" w:cs="仿宋"/>
          <w:spacing w:val="5"/>
          <w:sz w:val="31"/>
          <w:szCs w:val="31"/>
        </w:rPr>
        <w:t>赋能办公室的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总体要求与工作思路；加快构建现代化司法政务体系的具体</w:t>
      </w:r>
    </w:p>
    <w:p>
      <w:pPr>
        <w:spacing w:line="222" w:lineRule="auto"/>
        <w:ind w:left="1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路径等。</w:t>
      </w:r>
    </w:p>
    <w:sectPr>
      <w:footerReference r:id="rId11" w:type="default"/>
      <w:pgSz w:w="12090" w:h="16960"/>
      <w:pgMar w:top="1441" w:right="1813" w:bottom="1508" w:left="1813" w:header="0" w:footer="13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49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1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6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68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66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20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46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E1MzRmZDk3ZmE4MTk5MDA4OGJkYjg1MjE5NWVkM2UifQ=="/>
    <w:docVar w:name="KSO_WPS_MARK_KEY" w:val="a24bceed-3daf-40a0-a72b-b40f79c9f019"/>
  </w:docVars>
  <w:rsids>
    <w:rsidRoot w:val="00000000"/>
    <w:rsid w:val="0C7A2F15"/>
    <w:rsid w:val="109D1177"/>
    <w:rsid w:val="10FD39C4"/>
    <w:rsid w:val="177C13BA"/>
    <w:rsid w:val="1AA03612"/>
    <w:rsid w:val="2C4A6F83"/>
    <w:rsid w:val="374710E9"/>
    <w:rsid w:val="3C7A509B"/>
    <w:rsid w:val="46E521CE"/>
    <w:rsid w:val="54B81CF5"/>
    <w:rsid w:val="61554209"/>
    <w:rsid w:val="67F941F9"/>
    <w:rsid w:val="7E7449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3062</Words>
  <Characters>3106</Characters>
  <TotalTime>21</TotalTime>
  <ScaleCrop>false</ScaleCrop>
  <LinksUpToDate>false</LinksUpToDate>
  <CharactersWithSpaces>3192</CharactersWithSpaces>
  <Application>WPS Office_11.1.0.12970_F1E327BC-269C-435d-A152-05C5408002CA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2023-02-15T10:17:00Z</dcterms:created>
  <dc:creator>Kingsoft-PDF</dc:creator>
  <cp:lastModifiedBy>一一</cp:lastModifiedBy>
  <dcterms:modified xsi:type="dcterms:W3CDTF">2023-02-15T03:16:07Z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2023-02-15T10:17:15Z</vt:filetime>
  </property>
  <property fmtid="{D5CDD505-2E9C-101B-9397-08002B2CF9AE}" pid="4" name="UsrData">
    <vt:lpwstr>63ec409ba2d7b00015141c20</vt:lpwstr>
  </property>
  <property fmtid="{D5CDD505-2E9C-101B-9397-08002B2CF9AE}" pid="5" name="KSOProductBuildVer">
    <vt:lpwstr>2052-11.1.0.12970</vt:lpwstr>
  </property>
  <property fmtid="{D5CDD505-2E9C-101B-9397-08002B2CF9AE}" pid="6" name="ICV">
    <vt:lpwstr>ECB300F6D7A54AEF8239F6F6A74B5C44</vt:lpwstr>
  </property>
</Properties>
</file>