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9DED" w14:textId="61B95192" w:rsidR="00CF6510" w:rsidRPr="00CF6510" w:rsidRDefault="00CF6510" w:rsidP="00652F35">
      <w:pPr>
        <w:spacing w:line="360" w:lineRule="auto"/>
        <w:rPr>
          <w:rFonts w:ascii="仿宋" w:eastAsia="仿宋" w:hAnsi="仿宋"/>
          <w:sz w:val="30"/>
          <w:szCs w:val="30"/>
        </w:rPr>
      </w:pPr>
      <w:r w:rsidRPr="00CF6510">
        <w:rPr>
          <w:rFonts w:ascii="仿宋" w:eastAsia="仿宋" w:hAnsi="仿宋" w:hint="eastAsia"/>
          <w:sz w:val="30"/>
          <w:szCs w:val="30"/>
        </w:rPr>
        <w:t>附件</w:t>
      </w:r>
      <w:r w:rsidR="00652F35">
        <w:rPr>
          <w:rFonts w:ascii="仿宋" w:eastAsia="仿宋" w:hAnsi="仿宋" w:hint="eastAsia"/>
          <w:sz w:val="30"/>
          <w:szCs w:val="30"/>
        </w:rPr>
        <w:t>1</w:t>
      </w:r>
    </w:p>
    <w:p w14:paraId="1D1F6196" w14:textId="77777777" w:rsidR="00652F35" w:rsidRDefault="00652F35" w:rsidP="00652F35">
      <w:pPr>
        <w:spacing w:line="360" w:lineRule="auto"/>
        <w:rPr>
          <w:rFonts w:ascii="仿宋" w:eastAsia="仿宋" w:hAnsi="仿宋"/>
          <w:sz w:val="30"/>
          <w:szCs w:val="30"/>
        </w:rPr>
      </w:pPr>
    </w:p>
    <w:p w14:paraId="7DD269A1" w14:textId="41ED8B73" w:rsidR="00CF6510" w:rsidRDefault="00CF6510" w:rsidP="00652F35">
      <w:pPr>
        <w:spacing w:line="360" w:lineRule="auto"/>
        <w:rPr>
          <w:rFonts w:ascii="仿宋" w:eastAsia="仿宋" w:hAnsi="仿宋"/>
          <w:sz w:val="30"/>
          <w:szCs w:val="30"/>
        </w:rPr>
      </w:pPr>
      <w:r w:rsidRPr="00CF6510">
        <w:rPr>
          <w:rFonts w:ascii="仿宋" w:eastAsia="仿宋" w:hAnsi="仿宋"/>
          <w:sz w:val="30"/>
          <w:szCs w:val="30"/>
        </w:rPr>
        <w:t>2021年度法治建设与法学理论研究部级科研项目课题指引目录</w:t>
      </w:r>
    </w:p>
    <w:p w14:paraId="510B8555" w14:textId="77777777" w:rsidR="00652F35" w:rsidRPr="00CF6510" w:rsidRDefault="00652F35" w:rsidP="00652F35">
      <w:pPr>
        <w:spacing w:line="360" w:lineRule="auto"/>
        <w:rPr>
          <w:rFonts w:ascii="仿宋" w:eastAsia="仿宋" w:hAnsi="仿宋" w:hint="eastAsia"/>
          <w:sz w:val="30"/>
          <w:szCs w:val="30"/>
        </w:rPr>
      </w:pPr>
    </w:p>
    <w:p w14:paraId="0C2B5235" w14:textId="77777777" w:rsidR="00CF6510" w:rsidRPr="00652F35" w:rsidRDefault="00CF6510" w:rsidP="00652F35">
      <w:pPr>
        <w:spacing w:line="360" w:lineRule="auto"/>
        <w:rPr>
          <w:rFonts w:ascii="仿宋" w:eastAsia="仿宋" w:hAnsi="仿宋"/>
          <w:sz w:val="30"/>
          <w:szCs w:val="30"/>
        </w:rPr>
      </w:pPr>
      <w:r w:rsidRPr="00652F35">
        <w:rPr>
          <w:rFonts w:ascii="仿宋" w:eastAsia="仿宋" w:hAnsi="仿宋" w:hint="eastAsia"/>
          <w:sz w:val="30"/>
          <w:szCs w:val="30"/>
        </w:rPr>
        <w:t>一、习近平法治思想研究重点课题（申报方向）</w:t>
      </w:r>
    </w:p>
    <w:p w14:paraId="74FD7386"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1.习近平法治思想的核心要义研究</w:t>
      </w:r>
    </w:p>
    <w:p w14:paraId="3A45C554"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2.马克思主义法治理论中国化最新成果--习近平法治思想的理论创新研究</w:t>
      </w:r>
    </w:p>
    <w:p w14:paraId="21B005DA"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3.习近平法治思想对中华优秀传统法律文化传承与发展研究</w:t>
      </w:r>
    </w:p>
    <w:p w14:paraId="78DD49F8"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4.习近平法治思想对推进国家治理体系和治理能力现代化的重大指导作用研究</w:t>
      </w:r>
    </w:p>
    <w:p w14:paraId="5C6B9DC3" w14:textId="175FC3DA" w:rsidR="00CF6510"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5.习近平法治思想对推进涉外法治建设的重大指导作用研究</w:t>
      </w:r>
    </w:p>
    <w:p w14:paraId="4FE93D9D" w14:textId="77777777" w:rsidR="00652F35" w:rsidRPr="00B37A1C" w:rsidRDefault="00652F35" w:rsidP="00652F35">
      <w:pPr>
        <w:spacing w:line="360" w:lineRule="auto"/>
        <w:rPr>
          <w:rFonts w:ascii="仿宋" w:eastAsia="仿宋" w:hAnsi="仿宋" w:hint="eastAsia"/>
          <w:b w:val="0"/>
          <w:bCs/>
          <w:sz w:val="30"/>
          <w:szCs w:val="30"/>
        </w:rPr>
      </w:pPr>
    </w:p>
    <w:p w14:paraId="2790269F" w14:textId="77777777" w:rsidR="00CF6510" w:rsidRPr="00652F35" w:rsidRDefault="00CF6510" w:rsidP="00652F35">
      <w:pPr>
        <w:spacing w:line="360" w:lineRule="auto"/>
        <w:rPr>
          <w:rFonts w:ascii="仿宋" w:eastAsia="仿宋" w:hAnsi="仿宋"/>
          <w:sz w:val="30"/>
          <w:szCs w:val="30"/>
        </w:rPr>
      </w:pPr>
      <w:r w:rsidRPr="00652F35">
        <w:rPr>
          <w:rFonts w:ascii="仿宋" w:eastAsia="仿宋" w:hAnsi="仿宋" w:hint="eastAsia"/>
          <w:sz w:val="30"/>
          <w:szCs w:val="30"/>
        </w:rPr>
        <w:t>二、一般课题、青年课题、专项任务课题（申报方向）</w:t>
      </w:r>
    </w:p>
    <w:p w14:paraId="60266100"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1.加强和完善乡村振兴法治建设研究</w:t>
      </w:r>
    </w:p>
    <w:p w14:paraId="3B642287"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2.共同富裕示范区的法治保障研究</w:t>
      </w:r>
    </w:p>
    <w:p w14:paraId="0B8D739B"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3.新时代“枫桥经验”预防性法律制度的法理和立法建构研究</w:t>
      </w:r>
    </w:p>
    <w:p w14:paraId="4C98BDA0"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4.中央苏区民主法制建设的理论和实践问题研究</w:t>
      </w:r>
    </w:p>
    <w:p w14:paraId="1AAF856F"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5.陕甘宁边区民主法制建设的理论和实践问题研究</w:t>
      </w:r>
    </w:p>
    <w:p w14:paraId="5A9EB2CA"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6.解放区民主法制建设的理论和实践问题研究</w:t>
      </w:r>
    </w:p>
    <w:p w14:paraId="153DC375"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7.全国行政执法协调监督工作体系建设研究</w:t>
      </w:r>
    </w:p>
    <w:p w14:paraId="7D800B55"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8.行政调解制度研究</w:t>
      </w:r>
    </w:p>
    <w:p w14:paraId="343FC60C"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lastRenderedPageBreak/>
        <w:t>9.行政复议规范化建设研究</w:t>
      </w:r>
    </w:p>
    <w:p w14:paraId="0D9D921B"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10.行政执法体制改革研究</w:t>
      </w:r>
    </w:p>
    <w:p w14:paraId="70FABDD1"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11.基层政府应急管理体系建设研究</w:t>
      </w:r>
    </w:p>
    <w:p w14:paraId="5E50FAFA"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12.互联网视听节目监管法律制度研究</w:t>
      </w:r>
    </w:p>
    <w:p w14:paraId="63B932FE"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13.新型金融诈骗犯罪研究</w:t>
      </w:r>
    </w:p>
    <w:p w14:paraId="52E622DF"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14.电信网络诈骗犯罪问题治理研究</w:t>
      </w:r>
    </w:p>
    <w:p w14:paraId="61D4B4BA"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15.县域“一站式”纠纷化解机制研究</w:t>
      </w:r>
    </w:p>
    <w:p w14:paraId="38263D1B"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16.社会治理法治化与矛盾纠纷源头治理研究</w:t>
      </w:r>
    </w:p>
    <w:p w14:paraId="2E03001D"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17.《民法典》视野下乡村治理的法治化路径抉择研究</w:t>
      </w:r>
    </w:p>
    <w:p w14:paraId="44282111"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18.人工智能知识产权保护理论与制度完善研究</w:t>
      </w:r>
    </w:p>
    <w:p w14:paraId="52895C6C"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19.数字经济背景下《反垄断法》理论与实践路径研究</w:t>
      </w:r>
    </w:p>
    <w:p w14:paraId="7AAB6D81"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20.我国海域涉历史性权利案件的梳理及法理研究</w:t>
      </w:r>
    </w:p>
    <w:p w14:paraId="1D94D8A3"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21.RCEP中的数字经济规则及其争端解决机制研究</w:t>
      </w:r>
    </w:p>
    <w:p w14:paraId="7247B8E8"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22.完善我国涉外执法司法体系建设研究</w:t>
      </w:r>
    </w:p>
    <w:p w14:paraId="448D985D"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23.关于国内法与国际法关系问题研究</w:t>
      </w:r>
    </w:p>
    <w:p w14:paraId="071AF9D6"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24.实现碳达峰、碳中和目标的法治保障研究</w:t>
      </w:r>
    </w:p>
    <w:p w14:paraId="30EF363F"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25.新时代普法教育的针对性和有效性研究</w:t>
      </w:r>
    </w:p>
    <w:p w14:paraId="6400EEDE" w14:textId="77777777" w:rsidR="00CF6510" w:rsidRPr="00B37A1C" w:rsidRDefault="00CF6510" w:rsidP="00652F35">
      <w:pPr>
        <w:spacing w:line="360" w:lineRule="auto"/>
        <w:rPr>
          <w:rFonts w:ascii="仿宋" w:eastAsia="仿宋" w:hAnsi="仿宋"/>
          <w:b w:val="0"/>
          <w:bCs/>
          <w:sz w:val="30"/>
          <w:szCs w:val="30"/>
        </w:rPr>
      </w:pPr>
      <w:r w:rsidRPr="00B37A1C">
        <w:rPr>
          <w:rFonts w:ascii="仿宋" w:eastAsia="仿宋" w:hAnsi="仿宋"/>
          <w:b w:val="0"/>
          <w:bCs/>
          <w:sz w:val="30"/>
          <w:szCs w:val="30"/>
        </w:rPr>
        <w:t>26.公证的基本理论研究</w:t>
      </w:r>
    </w:p>
    <w:p w14:paraId="61EB18C0" w14:textId="77777777" w:rsidR="00B419AD" w:rsidRDefault="00B419AD" w:rsidP="00652F35"/>
    <w:sectPr w:rsidR="00B419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2100" w14:textId="77777777" w:rsidR="009F1526" w:rsidRDefault="009F1526" w:rsidP="00CF6510">
      <w:r>
        <w:separator/>
      </w:r>
    </w:p>
  </w:endnote>
  <w:endnote w:type="continuationSeparator" w:id="0">
    <w:p w14:paraId="282B0A2A" w14:textId="77777777" w:rsidR="009F1526" w:rsidRDefault="009F1526" w:rsidP="00CF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4C64" w14:textId="77777777" w:rsidR="009F1526" w:rsidRDefault="009F1526" w:rsidP="00CF6510">
      <w:r>
        <w:separator/>
      </w:r>
    </w:p>
  </w:footnote>
  <w:footnote w:type="continuationSeparator" w:id="0">
    <w:p w14:paraId="5A8EB47A" w14:textId="77777777" w:rsidR="009F1526" w:rsidRDefault="009F1526" w:rsidP="00CF6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CD"/>
    <w:rsid w:val="002103CD"/>
    <w:rsid w:val="00652F35"/>
    <w:rsid w:val="008612C4"/>
    <w:rsid w:val="009F1526"/>
    <w:rsid w:val="00B419AD"/>
    <w:rsid w:val="00CF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EFE89"/>
  <w15:chartTrackingRefBased/>
  <w15:docId w15:val="{1E6D7F33-9C83-4683-B54A-C9904CC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b/>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5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6510"/>
    <w:rPr>
      <w:sz w:val="18"/>
      <w:szCs w:val="18"/>
    </w:rPr>
  </w:style>
  <w:style w:type="paragraph" w:styleId="a5">
    <w:name w:val="footer"/>
    <w:basedOn w:val="a"/>
    <w:link w:val="a6"/>
    <w:uiPriority w:val="99"/>
    <w:unhideWhenUsed/>
    <w:rsid w:val="00CF6510"/>
    <w:pPr>
      <w:tabs>
        <w:tab w:val="center" w:pos="4153"/>
        <w:tab w:val="right" w:pos="8306"/>
      </w:tabs>
      <w:snapToGrid w:val="0"/>
      <w:jc w:val="left"/>
    </w:pPr>
    <w:rPr>
      <w:sz w:val="18"/>
      <w:szCs w:val="18"/>
    </w:rPr>
  </w:style>
  <w:style w:type="character" w:customStyle="1" w:styleId="a6">
    <w:name w:val="页脚 字符"/>
    <w:basedOn w:val="a0"/>
    <w:link w:val="a5"/>
    <w:uiPriority w:val="99"/>
    <w:rsid w:val="00CF65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周琼</dc:creator>
  <cp:keywords/>
  <dc:description/>
  <cp:lastModifiedBy>周琼</cp:lastModifiedBy>
  <cp:revision>4</cp:revision>
  <dcterms:created xsi:type="dcterms:W3CDTF">2021-08-10T08:50:00Z</dcterms:created>
  <dcterms:modified xsi:type="dcterms:W3CDTF">2021-08-10T09:46:00Z</dcterms:modified>
</cp:coreProperties>
</file>